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FinDiszErstV — Erstattungsbetrag</w:t>
      </w:r>
    </w:p>
    <w:p>
      <w:r>
        <w:rPr>
          <w:color w:val="555555"/>
          <w:sz w:val="18"/>
        </w:rPr>
        <w:t xml:space="preserve">Finanzdisziplin-Erstattungsverordnung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(1) Der Erstattungsbetrag für die begünstigten Betriebsinhaber ist zu berechnen, indem die dem jeweiligen Betriebsinhaber für das Kalenderjahr im Sinne des § 3 Absatz 2 Satz 2 zu gewährenden Direktzahlungen, die den in Artikel 17 Absatz 1 Unterabsatz 2 der Verordnung (EU) 2021/2116 genannten Schwellenwert überschreiten, mit dem nach § 3 Absatz 2 ermittelten Erstattungsfaktor multipliziert werden.</w:t>
      </w:r>
    </w:p>
    <w:p>
      <w:r>
        <w:t xml:space="preserve">(2) Werden Direktzahlungen für das Kalenderjahr im Sinne des § 3 Absatz 2 Satz 2 nach dem 15. Oktober des nachfolgenden Kalenderjahres ausgezahlt, hat die Erstattung in dem Agrar-Haushaltsjahr zu erfolgen, für das der Bundesrepublik Deutschland im Rahmen eines Durchführungsrechtsakts nach Artikel 17 Absatz 3 Unterabsatz 2 der Verordnung (EU) 2021/2116 erneut ein Betrag zugewiesen worden ist. Dabei ist der Erstattungsfaktor anzuwenden, der für das Kalenderjahr ermittelt wurde, in dem die betreffenden Direktzahlungen beantragt worden sind.</w:t>
      </w:r>
    </w:p>
    <w:p>
      <w:r>
        <w:rPr>
          <w:color w:val="555555"/>
          <w:sz w:val="17"/>
        </w:rPr>
        <w:t xml:space="preserve">Zitiervorschlag: § 5 FinDiszErstV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https://recht.nulegal.eu/gesetze/FinDiszErstV/5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