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FinDiszErstV — Erstattungsfaktor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(1) Die Bundesanstalt für Landwirtschaft und Ernährung (Bundesanstalt) hat im Falle eines Durchführungsrechtsakts nach Artikel 17 Absatz 3 Unterabsatz 2 der Verordnung (EU) 2021/2116 einen Erstattungsfaktor für die Berechnung des Erstattungsbetrags an die begünstigten Betriebsinhaber festzulegen.</w:t>
      </w:r>
    </w:p>
    <w:p>
      <w:r>
        <w:t xml:space="preserve">(2) Der Erstattungsfaktor nach Absatz 1 ist wie folgt zu berechnen:</w:t>
      </w:r>
    </w:p>
    <w:p>
      <w:pPr>
        <w:ind w:left="420"/>
      </w:pPr>
      <w:r>
        <w:t xml:space="preserve">1. Addition des Gesamtbetrags der für das Kalenderjahr in der Bundesrepublik Deutschland zu gewährenden Direktzahlungen, die den Schwellenwert nach Artikel 17 Absatz 1 Unterabsatz 2 der Verordnung (EU) 2021/2116 überschreiten, mit 10 000 000 Euro,</w:t>
      </w:r>
    </w:p>
    <w:p>
      <w:pPr>
        <w:ind w:left="420"/>
      </w:pPr>
      <w:r>
        <w:t xml:space="preserve">2. Division des von der Kommission für die Bundesrepublik Deutschland in dem Durchführungsrechtsakt nach Artikel 17 Absatz 3 Unterabsatz 2 der Verordnung (EU) 2021/2116 festgelegten Betrags durch den Betrag nach Nummer 1.</w:t>
      </w:r>
    </w:p>
    <w:p>
      <w:r>
        <w:t xml:space="preserve">Maßgeblich für die Berechnung nach Satz 1 ist das Kalenderjahr, das in dem Agrar-Haushaltsjahr endet, auf das die betreffenden Mittel nach Artikel 12 Absatz 2 Unterabsatz 1 Buchstabe d der Verordnung (EU, Euratom) 2018/1046 übertragen werden. Der Erstattungsfaktor ist auf sechs Nachkommastellen abzurunden.</w:t>
      </w:r>
    </w:p>
    <w:p>
      <w:r>
        <w:t xml:space="preserve">(3) Die Bundesanstalt hat den nach Absatz 2 ermittelten Erstattungsfaktor im Bundesanzeiger bekanntzumachen. Bei der Bekanntmachung nach Satz 1 hat die Bundesanstalt auch auf den Durchführungsrechtsakt der Kommission nach Artikel 17 Absatz 3 Unterabsatz 2 der Verordnung (EU) 2021/2116 hinzuweisen.</w:t>
      </w:r>
    </w:p>
    <w:p>
      <w:r>
        <w:rPr>
          <w:color w:val="555555"/>
          <w:sz w:val="17"/>
        </w:rPr>
        <w:t xml:space="preserve">Zitiervorschlag: § 3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