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FinDiszErstV — Auszahlungszeitraum</w:t>
      </w:r>
    </w:p>
    <w:p>
      <w:r>
        <w:rPr>
          <w:color w:val="555555"/>
          <w:sz w:val="18"/>
        </w:rPr>
        <w:t xml:space="preserve">Finanzdisziplin-Erstattungsverordnung</w:t>
      </w:r>
    </w:p>
    <w:p>
      <w:r>
        <w:rPr>
          <w:color w:val="555555"/>
          <w:sz w:val="18"/>
        </w:rPr>
        <w:t xml:space="preserve">Stand: 10.01.2023 (konsolidierte Textfassung, kein amtliches Inkrafttretensdatum)</w:t>
      </w:r>
    </w:p>
    <w:p>
      <w:r>
        <w:t xml:space="preserve">Der nach einem Durchführungsrechtsakt nach Artikel 17 Absatz 3 Unterabsatz 2 der Verordnung (EU) 2021/2116 der Bundesrepublik Deutschland zugewiesene Betrag ist innerhalb des Agrar-Haushaltsjahres nach Artikel 35 der Verordnung (EU) 2021/2116 auszuzahlen, auf das zuvor die Mittel nach Artikel 12 Absatz 2 Unterabsatz 1 Buchstabe d der Verordnung (EU, Euratom) 2018/1046 des Europäischen Parlaments und des Rates vom 18. Juli 2018 über die Haushaltsordnung für den Gesamthaushaltsplan der Union, zur Änderung der Verordnungen (EU) Nr. 1296/2013, (EU) Nr. 1301/2013, (EU) Nr. 1303/2013, (EU) Nr. 1304/2013, (EU) Nr. 1309/2013, (EU) Nr. 1316/2013, (EU) Nr. 223/2014, (EU) Nr. 283/2014 und des Beschlusses Nr. 541/2014/EU sowie zur Aufhebung der Verordnung (EU, Euratom) Nr. 966/2012 (ABl. L 193 vom 30.7.2018, S. 1; L 65 vom 25.2.2021, S. 80) in der jeweils geltenden Fassung übertragen worden sind.</w:t>
      </w:r>
    </w:p>
    <w:p>
      <w:r>
        <w:rPr>
          <w:color w:val="555555"/>
          <w:sz w:val="17"/>
        </w:rPr>
        <w:t xml:space="preserve">Zitiervorschlag: § 2 FinDiszErstV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https://recht.nulegal.eu/gesetze/FinDiszErstV/2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