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FinDiszErstV — Anwendungsbereich</w:t>
      </w:r>
    </w:p>
    <w:p>
      <w:r>
        <w:rPr>
          <w:color w:val="555555"/>
          <w:sz w:val="18"/>
        </w:rPr>
        <w:t xml:space="preserve">Finanzdisziplin-Erstattungsverordnung</w:t>
      </w:r>
    </w:p>
    <w:p>
      <w:r>
        <w:rPr>
          <w:color w:val="555555"/>
          <w:sz w:val="18"/>
        </w:rPr>
        <w:t xml:space="preserve">Stand: 10.01.2023 (konsolidierte Textfassung, kein amtliches Inkrafttretensdatum)</w:t>
      </w:r>
    </w:p>
    <w:p>
      <w:r>
        <w:t xml:space="preserve">Die Vorschriften dieser Verordnung gelten für die Durchführung der Erstattung der Mittel, die die Kommission in einem Durchführungsrechtsakt nach Artikel 17 Absatz 3 Unterabsatz 2 der Verordnung (EU) 2021/2116 des Europäischen Parlaments und des Rates vom 2. Dezember 2021 über die Finanzierung, Verwaltung und Überwachung der Gemeinsamen Agrarpolitik und zur Aufhebung der Verordnung (EU) Nr. 1306/2013 (ABl. L 435 vom 6.12.2021, S. 187; L 29 vom 10.2.2022, S. 45) in der jeweils geltenden Fassung der Bundesrepublik Deutschland für die Erstattung an die begünstigten Betriebsinhaber zuweist.</w:t>
      </w:r>
    </w:p>
    <w:p>
      <w:r>
        <w:rPr>
          <w:color w:val="555555"/>
          <w:sz w:val="17"/>
        </w:rPr>
        <w:t xml:space="preserve">Zitiervorschlag: § 1 FinDiszErstV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https://recht.nulegal.eu/gesetze/FinDiszErstV/1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