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FinDPrV — (zu § 9) Zeugnisinhalte</w:t>
      </w:r>
    </w:p>
    <w:p>
      <w:r>
        <w:rPr>
          <w:color w:val="555555"/>
          <w:sz w:val="18"/>
        </w:rPr>
        <w:t xml:space="preserve">Verordnung über die Prüfung zu anerkannten Fortbildungsabschlüssen in der Finanzdienstleistungswirtschaft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2358)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2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die Benennung, das nach § 7 Absatz 3 errechnete arithmetische Mittel und die Note des schriftlichen Teils sowie die Benennung und die jeweilige Bewertung der Handlungsbereiche nach § 4 Absatz 2,</w:t>
      </w:r>
    </w:p>
    <w:p>
      <w:pPr>
        <w:ind w:left="420"/>
      </w:pPr>
      <w:r>
        <w:t xml:space="preserve">2. die Benennung, die Bewertung und die Note des mündlichen Teils sowie die Angabe, dass die Prüfung ein fallbezogenes Beratungsgespräch ist,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6.</w:t>
      </w:r>
    </w:p>
    <w:p>
      <w:r>
        <w:rPr>
          <w:color w:val="555555"/>
          <w:sz w:val="17"/>
        </w:rPr>
        <w:t xml:space="preserve">Zitiervorschlag: Anlage 2 FinDPrV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