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FinDPrV — Zulassungsvoraussetzungen</w:t>
      </w:r>
    </w:p>
    <w:p>
      <w:r>
        <w:rPr>
          <w:color w:val="555555"/>
          <w:sz w:val="18"/>
        </w:rPr>
        <w:t xml:space="preserve">Verordnung über die Prüfung zu anerkannten Fortbildungsabschlüssen in der Finanzdienstleistungswirtschaft</w:t>
      </w:r>
    </w:p>
    <w:p>
      <w:r>
        <w:rPr>
          <w:color w:val="555555"/>
          <w:sz w:val="18"/>
        </w:rPr>
        <w:t xml:space="preserve">Stand: 10.01.2020 (konsolidierte Textfassung, kein amtliches Inkrafttretensdatum)</w:t>
      </w:r>
    </w:p>
    <w:p>
      <w:r>
        <w:t xml:space="preserve">(1) Zur Prüfung ist zuzulassen, wer</w:t>
      </w:r>
    </w:p>
    <w:p>
      <w:pPr>
        <w:ind w:left="420"/>
      </w:pPr>
      <w:r>
        <w:t xml:space="preserve">1. eine mit Erfolg abgelegte Abschlussprüfung in einem anerkannten Ausbildungsberuf als Bankkaufmann oder Bankkauffrau, Kaufmann für Versicherungen und Finanzen oder Kauffrau für Versicherungen und Finanzen, Versicherungskaufmann oder Versicherungskauffrau, Immobilienkaufmann oder Immobilienkauffrau, Kaufmann in der Grundstücks- und Wohnungswirtschaft oder Kauffrau in der Grundstücks- und Wohnungswirtschaft oder Investmentfondskaufmann oder Investmentfondskauffrau und danach mindestens eine Berufspraxis von einem Jahr oder</w:t>
      </w:r>
    </w:p>
    <w:p>
      <w:pPr>
        <w:ind w:left="420"/>
      </w:pPr>
      <w:r>
        <w:t xml:space="preserve">2. eine mit Erfolg abgelegte Abschlussprüfung in einem anderen anerkannten kaufmännischen oder verwaltenden Ausbildungsberuf und danach eine mindestens zweijährige Berufspraxis oder</w:t>
      </w:r>
    </w:p>
    <w:p>
      <w:pPr>
        <w:ind w:left="420"/>
      </w:pPr>
      <w:r>
        <w:t xml:space="preserve">3. eine mindestens fünfjährige Berufspraxis</w:t>
      </w:r>
    </w:p>
    <w:p>
      <w:r>
        <w:t xml:space="preserve">nachweist.</w:t>
      </w:r>
    </w:p>
    <w:p>
      <w:r>
        <w:t xml:space="preserve">(2) Die Berufspraxis nach Absatz 1 muss inhaltlich wesentliche Bezüge zu den in § 8 Absatz 2 genannten Aufgaben haben.</w:t>
      </w:r>
    </w:p>
    <w:p>
      <w:r>
        <w:t xml:space="preserve">(3) Abweichend von den in den Absätzen 1 und 2 genannten Voraussetzungen ist zur Prüfung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11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