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FinDASaV — (zu § 1) Satzung der Bundesanstalt für Finanzdienstleistungsaufsicht</w:t>
      </w:r>
    </w:p>
    <w:p>
      <w:r>
        <w:rPr>
          <w:color w:val="555555"/>
          <w:sz w:val="18"/>
        </w:rPr>
        <w:t xml:space="preserve">Verordnung über die Satzung der Bundesanstalt für Finanzdienstleistungsaufsicht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(Text der Satzung siehe: FinDASa)</w:t>
      </w:r>
    </w:p>
    <w:p>
      <w:r>
        <w:rPr>
          <w:color w:val="555555"/>
          <w:sz w:val="17"/>
        </w:rPr>
        <w:t xml:space="preserve">Zitiervorschlag: Anlage FinDASaV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