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FinDASa — Verfahren</w:t>
      </w:r>
    </w:p>
    <w:p>
      <w:r>
        <w:rPr>
          <w:color w:val="555555"/>
          <w:sz w:val="18"/>
        </w:rPr>
        <w:t xml:space="preserve">Satzung der Bundesanstalt für Finanzdienstleistungsaufsicht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Beschlussfassung des Verwaltungsrats im schriftlichen Verfahren oder in Verfahren der Telekommunikation ist zulässig. Das Nähere regelt die Geschäftsordnung.</w:t>
      </w:r>
    </w:p>
    <w:p>
      <w:r>
        <w:rPr>
          <w:color w:val="555555"/>
          <w:sz w:val="17"/>
        </w:rPr>
        <w:t xml:space="preserve">Zitiervorschlag: § 7 FinDASa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https://recht.nulegal.eu/gesetze/FinDASa/7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