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FinDAGebV — Höhe der Gebühren</w:t>
      </w:r>
    </w:p>
    <w:p>
      <w:r>
        <w:rPr>
          <w:color w:val="555555"/>
          <w:sz w:val="18"/>
        </w:rPr>
        <w:t xml:space="preserve">Finanzdienstleistungsaufsichtsgebührenverordnung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richtet sich nach dem Gebührenverzeichnis in der Anlage. Das Gebührenverzeichnis in der Anlage regelt ferner die Tatbestände für eine Gebührenbefreiung und -ermäßigung.</w:t>
      </w:r>
    </w:p>
    <w:p>
      <w:r>
        <w:t xml:space="preserve">(2) Die Gebührentatbestände des Gebührenverzeichnisses umfassen jeweils auch die Kosten für die Festsetzung der Gebühren.</w:t>
      </w:r>
    </w:p>
    <w:p>
      <w:r>
        <w:rPr>
          <w:color w:val="555555"/>
          <w:sz w:val="17"/>
        </w:rPr>
        <w:t xml:space="preserve">Zitiervorschlag: § 2 FinDAGebV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