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FinDAGebV — Erhebung von Gebühren</w:t>
      </w:r>
    </w:p>
    <w:p>
      <w:r>
        <w:rPr>
          <w:color w:val="555555"/>
          <w:sz w:val="18"/>
        </w:rPr>
        <w:t xml:space="preserve">Finanzdienstleistungsaufsichtsgebührenverordnung</w:t>
      </w:r>
    </w:p>
    <w:p>
      <w:r>
        <w:rPr>
          <w:color w:val="555555"/>
          <w:sz w:val="18"/>
        </w:rPr>
        <w:t xml:space="preserve">Stand: 31.03.2026 (konsolidierte Textfassung, kein amtliches Inkrafttretensdatum)</w:t>
      </w:r>
    </w:p>
    <w:p>
      <w:r>
        <w:t xml:space="preserve">Die Bundesanstalt für Finanzdienstleistungsaufsicht (Bundesanstalt) erhebt Gebühren für individuell zurechenbare öffentliche Leistungen, die aufgrund der folgenden Vorschriften erbracht werden:</w:t>
      </w:r>
    </w:p>
    <w:p>
      <w:pPr>
        <w:ind w:left="420"/>
      </w:pPr>
      <w:r>
        <w:t xml:space="preserve">1. Wertpapierhandelsgesetz,</w:t>
      </w:r>
    </w:p>
    <w:p>
      <w:pPr>
        <w:ind w:left="420"/>
      </w:pPr>
      <w:r>
        <w:t xml:space="preserve">2. Wertpapiererwerbs- und Übernahmegesetz,</w:t>
      </w:r>
    </w:p>
    <w:p>
      <w:pPr>
        <w:ind w:left="420"/>
      </w:pPr>
      <w:r>
        <w:t xml:space="preserve">3. Wertpapierprospektgesetz,</w:t>
      </w:r>
    </w:p>
    <w:p>
      <w:pPr>
        <w:ind w:left="420"/>
      </w:pPr>
      <w:r>
        <w:t xml:space="preserve">4. Verordnung (EU) 2017/1129 des Europäischen Parlaments und des Rates vom 14. Juni 2017 über den Prospekt, der beim öffentlichen Angebot von Wertpapieren oder deren Zulassung zum Handel an einem geregelten Markt zu veröffentlichen ist und zur Aufhebung der Richtlinie 2003/71/EG (ABl. L 168 vom 30.6.2017, S. 12), die zuletzt durch die Verordnung (EU) 2021/337 (ABl. L 68 vom 26.2.2021, S. 1) geändert worden ist,</w:t>
      </w:r>
    </w:p>
    <w:p>
      <w:pPr>
        <w:ind w:left="420"/>
      </w:pPr>
      <w:r>
        <w:t xml:space="preserve">5. Vermögensanlagengesetz,</w:t>
      </w:r>
    </w:p>
    <w:p>
      <w:pPr>
        <w:ind w:left="420"/>
      </w:pPr>
      <w:r>
        <w:t xml:space="preserve">6. Kreditwesengesetz,</w:t>
      </w:r>
    </w:p>
    <w:p>
      <w:pPr>
        <w:ind w:left="420"/>
      </w:pPr>
      <w:r>
        <w:t xml:space="preserve">7. Verordnung (EU) Nr. 575/2013 des Europäischen Parlaments und des Rates vom 26. Juni 2013 über Aufsichtsanforderungen an Kreditinstitute und zur Änderung der Verordnung (EU) Nr. 648/2012 (ABl. L 176 vom 27.6.2013, S. 1; L 208 vom 2.8.2013, S. 68; L 321 vom 30.11.2013, S. 6; L 193 vom 21.7.2015, S. 166; L 20 vom 25.1.2017, S. 3; L 13 vom 17.1.2020, S. 58; L 335 vom 13.10.2020, S. 20; L 405 vom 2.12.2020, S. 79), die zuletzt durch die Verordnung (EU) 2020/873 (ABl. L 204 vom 26.6.2020, S. 4) geändert worden ist,</w:t>
      </w:r>
    </w:p>
    <w:p>
      <w:pPr>
        <w:ind w:left="420"/>
      </w:pPr>
      <w:r>
        <w:t xml:space="preserve">8. Verordnung (EU) Nr. 1024/2013 des Rates vom 15. Oktober 2013 zur Übertragung besonderer Aufgaben im Zusammenhang mit der Aufsicht über Kreditinstitute auf die Europäische Zentralbank (ABl. L 287 vom 29.10.2013, S. 63; L 218 vom 19.8.2015, S. 82),</w:t>
      </w:r>
    </w:p>
    <w:p>
      <w:pPr>
        <w:ind w:left="420"/>
      </w:pPr>
      <w:r>
        <w:t xml:space="preserve">9. Liquiditätsverordnung,</w:t>
      </w:r>
    </w:p>
    <w:p>
      <w:pPr>
        <w:ind w:left="420"/>
      </w:pPr>
      <w:r>
        <w:t xml:space="preserve">10. Solvabilitätsverordnung,</w:t>
      </w:r>
    </w:p>
    <w:p>
      <w:pPr>
        <w:ind w:left="420"/>
      </w:pPr>
      <w:r>
        <w:t xml:space="preserve">11. Anlegerentschädigungsgesetz,</w:t>
      </w:r>
    </w:p>
    <w:p>
      <w:pPr>
        <w:ind w:left="420"/>
      </w:pPr>
      <w:r>
        <w:t xml:space="preserve">12. Gesetz über die Bundesanstalt für Finanzdienstleistungsaufsicht (Finanzdienstleistungsaufsichtsgesetz),</w:t>
      </w:r>
    </w:p>
    <w:p>
      <w:pPr>
        <w:ind w:left="420"/>
      </w:pPr>
      <w:r>
        <w:t xml:space="preserve">13. Verordnung über die Umlegung von Kosten der Bilanzkontrolle nach § 17d des Finanzdienstleistungsaufsichtsgesetzes,</w:t>
      </w:r>
    </w:p>
    <w:p>
      <w:pPr>
        <w:ind w:left="420"/>
      </w:pPr>
      <w:r>
        <w:t xml:space="preserve">14. Zahlungsdiensteaufsichtsgesetz,</w:t>
      </w:r>
    </w:p>
    <w:p>
      <w:pPr>
        <w:ind w:left="420"/>
      </w:pPr>
      <w:r>
        <w:t xml:space="preserve">15. Zahlungsinstituts-Eigenkapitalverordnung,</w:t>
      </w:r>
    </w:p>
    <w:p>
      <w:pPr>
        <w:ind w:left="420"/>
      </w:pPr>
      <w:r>
        <w:t xml:space="preserve">16. Einlagensicherungsgesetz,</w:t>
      </w:r>
    </w:p>
    <w:p>
      <w:pPr>
        <w:ind w:left="420"/>
      </w:pPr>
      <w:r>
        <w:t xml:space="preserve">17. Zahlungskontengesetz,</w:t>
      </w:r>
    </w:p>
    <w:p>
      <w:pPr>
        <w:ind w:left="420"/>
      </w:pPr>
      <w:r>
        <w:t xml:space="preserve">18. Kapitalanlagegesetzbuch,</w:t>
      </w:r>
    </w:p>
    <w:p>
      <w:pPr>
        <w:ind w:left="420"/>
      </w:pPr>
      <w:r>
        <w:t xml:space="preserve">19. Verordnung (EU) Nr. 346/2013 des Europäischen Parlaments und des Rates vom 17. April 2013 über Europäische Fonds für soziales Unternehmertum (ABl. L 115 vom 25.4.2013, S. 18), die zuletzt durch die Verordnung (EU) 2019/1156 (ABl. L 188 vom 12.7.2019, S. 55) geändert worden ist,</w:t>
      </w:r>
    </w:p>
    <w:p>
      <w:pPr>
        <w:ind w:left="420"/>
      </w:pPr>
      <w:r>
        <w:t xml:space="preserve">20. Verordnung (EU) 2015/760 des Europäischen Parlaments und des Rates vom 29. April 2015 über europäische langfristige Investmentfonds (ABl. L 123 vom 19.5.2015, S. 98),</w:t>
      </w:r>
    </w:p>
    <w:p>
      <w:pPr>
        <w:ind w:left="420"/>
      </w:pPr>
      <w:r>
        <w:t xml:space="preserve">21. Derivateverordnung,</w:t>
      </w:r>
    </w:p>
    <w:p>
      <w:pPr>
        <w:ind w:left="420"/>
      </w:pPr>
      <w:r>
        <w:t xml:space="preserve">22. Verordnung (EU) Nr. 345/2013 des Europäischen Parlaments und des Rates vom 17. April 2013 über Europäische Risikokapitalfonds (ABl. L 115 vom 25.4.2013, S. 1), die zuletzt durch die Verordnung (EU) 2019/1156 (ABl. L 188 vom 12.7.2019, S. 55) geändert worden ist,</w:t>
      </w:r>
    </w:p>
    <w:p>
      <w:pPr>
        <w:ind w:left="420"/>
      </w:pPr>
      <w:r>
        <w:t xml:space="preserve">23. Geldwäschegesetz,</w:t>
      </w:r>
    </w:p>
    <w:p>
      <w:pPr>
        <w:ind w:left="420"/>
      </w:pPr>
      <w:r>
        <w:t xml:space="preserve">24. Pfandbriefgesetz,</w:t>
      </w:r>
    </w:p>
    <w:p>
      <w:pPr>
        <w:ind w:left="420"/>
      </w:pPr>
      <w:r>
        <w:t xml:space="preserve">25. Versicherungsaufsichtsgesetz,</w:t>
      </w:r>
    </w:p>
    <w:p>
      <w:pPr>
        <w:ind w:left="420"/>
      </w:pPr>
      <w:r>
        <w:t xml:space="preserve">26. Bausparkassengesetz,</w:t>
      </w:r>
    </w:p>
    <w:p>
      <w:pPr>
        <w:ind w:left="420"/>
      </w:pPr>
      <w:r>
        <w:t xml:space="preserve">27. Bausparkassen-Verordnung,</w:t>
      </w:r>
    </w:p>
    <w:p>
      <w:pPr>
        <w:ind w:left="420"/>
      </w:pPr>
      <w:r>
        <w:t xml:space="preserve">28. Verordnung (EU) Nr. 648/2012 des Europäischen Parlaments und des Rates vom 4. Juli 2012 über OTC-Derivate, zentrale Gegenparteien und Transaktionsregister (ABl. L 201 vom 27.7.2012, S. 1; L 321 vom 30.11.2013, S. 6), die zuletzt durch die Verordnung (EU) 2021/168 (ABl. L 49 vom 12.2.2021, S. 6) geändert worden ist,</w:t>
      </w:r>
    </w:p>
    <w:p>
      <w:pPr>
        <w:ind w:left="420"/>
      </w:pPr>
      <w:r>
        <w:t xml:space="preserve">29. Delegierte Verordnung (EU) 2015/2205 der Kommission vom 6. August 2015 zur Ergänzung der Verordnung (EU) Nr. 648/2012 des Europäischen Parlaments und des Rates durch technische Regulierungsstandards für die Clearingpflicht (ABl. L 314 vom 1.12.2015, S. 13), die zuletzt durch die Delegierte Verordnung (EU) 2021/237 (ABl. L 56 vom 17.2.2021, S. 6) geändert worden ist, Delegierte Verordnung (EU) 2016/592 der Kommission vom 1. März 2016 zur Ergänzung der Verordnung (EU) Nr. 648/2012 des Europäischen Parlaments und des Rates durch technische Regulierungsstandards für die Clearingpflicht (ABl. L 103 vom 19.4.2016, S. 5; L 183 vom 8.7.2016, S. 72), die zuletzt durch die Delegierte Verordnung (EU) 2021/237 (ABl. L 56 vom 17.2.2021, S. 6) geändert worden ist und Delegierte Verordnung (EU) 2016/1178 der Kommission vom 10. Juni 2016 zur Ergänzung der Verordnung (EU) Nr. 648/2012 des Europäischen Parlaments und des Rates durch technische Regulierungsstandards für die Clearingpflicht (ABl. L 195 vom 20.7.2016, S. 3; L 196 vom 21.7.2016, S. 56), die zuletzt durch die Delegierte Verordnung (EU) 2021/237 (ABl. L 56 vom 17.2.2021, S. 6) geändert worden ist,</w:t>
      </w:r>
    </w:p>
    <w:p>
      <w:pPr>
        <w:ind w:left="420"/>
      </w:pPr>
      <w:r>
        <w:t xml:space="preserve">30. Delegierte Verordnung (EU) 2016/2251 der Kommission vom 4. Oktober 2016 zur Ergänzung der Verordnung (EU) Nr. 648/2012 des Europäischen Parlaments und des Rates über OTC-Derivate, zentrale Gegenparteien und Transaktionsregister durch technische Regulierungsstandards zu Risikominderungstechniken für nicht durch eine zentrale Gegenpartei geclearte OTC-Derivatekonktrakte (ABl. L 340 vom 15.12.2016, S. 9; L 40 vom 17.2.2017, S. 79), die zuletzt durch die Delegierte Verordnung (EU) 2021/236 (ABl. L 56 vom 17.2.2021, S. 1) geändert worden ist,</w:t>
      </w:r>
    </w:p>
    <w:p>
      <w:pPr>
        <w:ind w:left="420"/>
      </w:pPr>
      <w:r>
        <w:t xml:space="preserve">31. Verordnung (EU) Nr. 909/2014 des Europäischen Parlaments und des Rates vom 23. Juli 2014 zur Verbesserung der Wertpapierlieferungen und -abrechnungen in der Europäischen Union und über Zentralverwalter sowie zur Änderung der Richtlinien 98/26/EG und 2014/65/EU und der Verordnung (EU) Nr. 236/2012 (ABl. L 257 vom 28.8.2014, S. 1; L 349 vom 21.12.2016, S. 5), die durch die Verordnung (EU) 2016/1033 (ABl. L 175 vom 30.6.2016, S. 1) geändert worden ist,</w:t>
      </w:r>
    </w:p>
    <w:p>
      <w:pPr>
        <w:ind w:left="420"/>
      </w:pPr>
      <w:r>
        <w:t xml:space="preserve">32. Verordnung (EU) Nr. 600/2014 des Europäischen Parlaments und des Rates vom 15. Mai 2014 über Märkte für Finanzinstrumente und zur Änderung der Verordnung (EU) Nr. 648/2012 (ABl. L 173 vom 12.6.2014, S. 84; L 6 vom 10.1.2015, S. 6; L 270 vom 15.10.2015, S. 4; L 278 vom 27.10.2017, S. 54; L 20 vom 14.1.2020, S. 26; L 405 vom 2.12.2020, S. 79), die zuletzt durch die Verordnung (EU) 2021/23 (ABl. L 22 vom 22.1.2021, S. 1) geändert worden ist,</w:t>
      </w:r>
    </w:p>
    <w:p>
      <w:pPr>
        <w:ind w:left="420"/>
      </w:pPr>
      <w:r>
        <w:t xml:space="preserve">33. Verordnung (EU) Nr. 1286/2014 des Europäischen Parlaments und des Rates vom 26. November 2014 über Basisinformationsblätter für verpackte Anlageprodukte für Kleinanleger und Versicherungsanlageprodukte (PRIIP) (ABl. L 352 vom 9.12.2014, S. 1; L 358 vom 13.12.2014, S. 50), die zuletzt durch die Verordnung (EU) 2019/1156 (ABl. L 188 vom 12.7.2019, S. 55) geändert worden ist,</w:t>
      </w:r>
    </w:p>
    <w:p>
      <w:pPr>
        <w:ind w:left="420"/>
      </w:pPr>
      <w:r>
        <w:t xml:space="preserve">34. Verordnung (EU) 2016/1011 des Europäischen Parlaments und des Rates vom 8. Juni 2016 über Indizes, die bei Finanzinstrumenten und Finanzkontrakten als Referenzwert oder zur Messung der Wertentwicklung eines Investmentfonds verwendet werden, und zur Änderung der Richtlinien 2008/48/EG und 2014/17/EU sowie der Verordnung (EU) Nr. 596/2014 (ABl. L 171 vom 29.6.2016, S. 1; L 306 vom 15.11.2016, S. 43), die zuletzt durch die Verordnung (EU) 2021/168 (ABl. L 49 vom 12.2.2021, S. 6) geändert worden ist,</w:t>
      </w:r>
    </w:p>
    <w:p>
      <w:pPr>
        <w:ind w:left="420"/>
      </w:pPr>
      <w:r>
        <w:t xml:space="preserve">35. Verordnung (EU) 2019/1238 des Europäischen Parlaments und des Rates vom 20. Juni 2019 über ein Paneuropäisches Privates Pensionsprodukt (PEPP) (ABl. L 198 vom 25.7.2019, S. 1),</w:t>
      </w:r>
    </w:p>
    <w:p>
      <w:pPr>
        <w:ind w:left="420"/>
      </w:pPr>
      <w:r>
        <w:t xml:space="preserve">36. Verordnung (EU) 2020/1503 des Europäischen Parlaments und des Rates vom 7. Oktober 2020 über Europäische Schwarmfinanzierungsdienstleister für Unternehmen und zur Änderung der Verordnung (EU) 2017/1129 und der Richtlinie (EU) 2019/1937 (ABl. L 347 vom 20.10.2020, S. 1),</w:t>
      </w:r>
    </w:p>
    <w:p>
      <w:pPr>
        <w:ind w:left="420"/>
      </w:pPr>
      <w:r>
        <w:t xml:space="preserve">37. Wertpapierinstitutsgesetz,</w:t>
      </w:r>
    </w:p>
    <w:p>
      <w:pPr>
        <w:ind w:left="420"/>
      </w:pPr>
      <w:r>
        <w:t xml:space="preserve">38. Verordnung (EU) 2022/858 des Europäischen Parlaments und des Rates vom 30. Mai 2022 über eine Pilotregelung für auf Distributed-Ledger-Technologie basierende Marktinfrastrukturen und zur Änderung der Verordnungen (EU) Nr. 600/2014 und (EU) Nr. 909/2014 sowie der Richtlinie 2014/65/EU (ABl. L 151 vom 2.6.2022, S. 1),</w:t>
      </w:r>
    </w:p>
    <w:p>
      <w:pPr>
        <w:ind w:left="420"/>
      </w:pPr>
      <w:r>
        <w:t xml:space="preserve">39. Kreditzweitmarktgesetz,</w:t>
      </w:r>
    </w:p>
    <w:p>
      <w:pPr>
        <w:ind w:left="420"/>
      </w:pPr>
      <w:r>
        <w:t xml:space="preserve">40. Verordnung (EU) 2023/1114 des Europäischen Parlaments und des Rates vom 31. Mai 2023 über Märkte für Kryptowerte und zur Änderung der Verordnungen (EU) Nr. 1093/2010 und (EU) Nr. 1095/2010 sowie der Richtlinien 2013/36/EU und (EU) 2019/1937 (ABl. L 150 vom 9.6.2023, S. 40), die durch die Verordnung (EU) 2023/2869 (ABl. L, 2023/2869, 20.12.2023) geändert worden ist,</w:t>
      </w:r>
    </w:p>
    <w:p>
      <w:pPr>
        <w:ind w:left="420"/>
      </w:pPr>
      <w:r>
        <w:t xml:space="preserve">40a. Kryptomärkteaufsichtsgesetz,</w:t>
      </w:r>
    </w:p>
    <w:p>
      <w:pPr>
        <w:ind w:left="420"/>
      </w:pPr>
      <w:r>
        <w:t xml:space="preserve">40b. Delegierte Verordnung (EU) 2015/61 in der Fassung vom 10. Februar 2022,</w:t>
      </w:r>
    </w:p>
    <w:p>
      <w:pPr>
        <w:ind w:left="420"/>
      </w:pPr>
      <w:r>
        <w:t xml:space="preserve">41. Verordnung (EU) 2022/2554 des Europäischen Parlaments und des Rates vom 14. Dezember 2022 über die digitale operationale Resilienz im Finanzsektor und zur Änderung der Verordnungen (EG) Nr. 1060/2009, (EU) Nr. 648/2012, (EU) Nr. 600/2014, (EU) Nr. 909/2014 und (EU) 2016/1011 (ABl. L 333 vom 27.12.2022, S. 1).</w:t>
      </w:r>
    </w:p>
    <w:p>
      <w:r>
        <w:rPr>
          <w:color w:val="555555"/>
          <w:sz w:val="17"/>
        </w:rPr>
        <w:t xml:space="preserve">Zitiervorschlag: § 1 FinDAGebV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