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FinDAGKostV</w:t>
      </w:r>
    </w:p>
    <w:p>
      <w:r>
        <w:rPr>
          <w:color w:val="555555"/>
          <w:sz w:val="18"/>
        </w:rPr>
        <w:t xml:space="preserve">Verordnung über die Umlegung von Kosten nach dem Finanzdienstleistungsaufsichtsgesetz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14 Abs. 2 Satz 1 und 3 und Abs. 3 des Finanzdienstleistungsaufsichtsgesetzes vom 22. April 2002 (BGBl. I S. 1310) in Verbindung mit dem 2. Abschnitt des Verwaltungskostengesetzes vom 23. Juni 1970 (BGBl. I S. 821) und</w:t>
      </w:r>
    </w:p>
    <w:p>
      <w:pPr>
        <w:ind w:left="420"/>
      </w:pPr>
      <w:r>
        <w:t xml:space="preserve">- des § 16 Satz 2 und 3 des Finanzdienstleistungsaufsichtsgesetzes</w:t>
      </w:r>
    </w:p>
    <w:p>
      <w:r>
        <w:t xml:space="preserve">verordnet das Bundesministerium der Finanzen:</w:t>
      </w:r>
    </w:p>
    <w:p>
      <w:r>
        <w:rPr>
          <w:color w:val="555555"/>
          <w:sz w:val="17"/>
        </w:rPr>
        <w:t xml:space="preserve">Zitiervorschlag: Eingangsformel FinDAGKostV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https://recht.nulegal.eu/gesetze/FinDAGKostV/eingangsformel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