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FinDAGKostV — Gebührentatbestände; Höhe der Gebühren</w:t>
      </w:r>
    </w:p>
    <w:p>
      <w:r>
        <w:rPr>
          <w:color w:val="555555"/>
          <w:sz w:val="18"/>
        </w:rPr>
        <w:t xml:space="preserve">Verordnung über die Umlegung von Kosten nach dem Finanzdienstleistungsaufsichtsgesetz</w:t>
      </w:r>
    </w:p>
    <w:p>
      <w:r>
        <w:rPr>
          <w:color w:val="555555"/>
          <w:sz w:val="18"/>
        </w:rPr>
        <w:t xml:space="preserve">Außer Kraft: § 2 ist seit 01.10.2021 nicht mehr im FinDAGKostV enthalten. Angezeigt wird die letzte bekannte Fassung, Stand 10.06.2019.</w:t>
      </w:r>
    </w:p>
    <w:p>
      <w:r>
        <w:t xml:space="preserve">(1) Die gebührenpflichtigen individuell zurechenbaren öffentlichen Leistungen und Gebührensätze ergeben sich aus den nachfolgenden Bestimmungen dieses Abschnitts und dem anliegenden Gebührenverzeichnis.</w:t>
      </w:r>
    </w:p>
    <w:p>
      <w:r>
        <w:t xml:space="preserve">(2) Zur Abgeltung mehrfacher gleichartiger individuell zurechenbarer öffentlicher Leistungen für denselben Gebührenschuldner kann die Bundesanstalt auf Antrag des Gebührenschuldners eine Pauschgebühr, die den geringeren Umfang des Verwaltungsaufwandes berücksichtigt, im Voraus festsetzen.</w:t>
      </w:r>
    </w:p>
    <w:p>
      <w:r>
        <w:rPr>
          <w:color w:val="555555"/>
          <w:sz w:val="17"/>
        </w:rPr>
        <w:t xml:space="preserve">Zitiervorschlag: § 2 FinDAGKostV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https://recht.nulegal.eu/gesetze/FinDAGKostV/2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