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FinDAGKostV — Inkrafttreten</w:t>
      </w:r>
    </w:p>
    <w:p>
      <w:r>
        <w:rPr>
          <w:color w:val="555555"/>
          <w:sz w:val="18"/>
        </w:rPr>
        <w:t xml:space="preserve">Verordnung über die Umlegung von Kosten nach dem Finanzdienstleistungsaufsichtsgesetz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Mai 2002 in Kraft.</w:t>
      </w:r>
    </w:p>
    <w:p>
      <w:r>
        <w:rPr>
          <w:color w:val="555555"/>
          <w:sz w:val="17"/>
        </w:rPr>
        <w:t xml:space="preserve">Zitiervorschlag: § 15 FinDAGKostV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https://recht.nulegal.eu/gesetze/FinDAGKostV/15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