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FinDAGKostV — Aufhebung von Rechtsvorschriften</w:t>
      </w:r>
    </w:p>
    <w:p>
      <w:r>
        <w:rPr>
          <w:color w:val="555555"/>
          <w:sz w:val="18"/>
        </w:rPr>
        <w:t xml:space="preserve">Verordnung über die Umlegung von Kosten nach dem Finanzdienstleistungsaufsichtsgesetz</w:t>
      </w:r>
    </w:p>
    <w:p>
      <w:r>
        <w:rPr>
          <w:color w:val="555555"/>
          <w:sz w:val="18"/>
        </w:rPr>
        <w:t xml:space="preserve">Stand: 10.06.2019 (konsolidierte Textfassung, kein amtliches Inkrafttretensdatum)</w:t>
      </w:r>
    </w:p>
    <w:p>
      <w:r>
        <w:t xml:space="preserve">Die Umlage-Verordnung Kredit- und Finanzdienstleistungswesen vom 8. März 1999 (BGBl. I S. 314), zuletzt geändert durch die Verordnung vom 20. Dezember 2001 (BGBl. I S. 3911), und die Umlage-Verordnung-Wertpapierhandel vom 22. Februar 1999 (BGBl. I S. 179), zuletzt geändert durch die Verordnung vom 18. April 2001 (BGBl. I S. 611), werden aufgehoben. Sie sind in der bis zum Tag vor dem Inkrafttreten dieser Verordnung geltenden Fassung auf die Umlegung der Kosten der Bundesaufsichtsämter für das Kreditwesen und den Wertpapierhandel für die Umlagejahre 1998, 1999, 2000, 2001 und des bis zum Inkrafttreten dieser Verordnung verbleibenden Abrechnungszeitraums des Jahres 2002 weiter anzuwenden.</w:t>
      </w:r>
    </w:p>
    <w:p>
      <w:r>
        <w:rPr>
          <w:color w:val="555555"/>
          <w:sz w:val="17"/>
        </w:rPr>
        <w:t xml:space="preserve">Zitiervorschlag: § 14 FinDAGKostV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https://recht.nulegal.eu/gesetze/FinDAGKostV/14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