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FinDAG — Rechtsstellung der Mitglieder des Direktoriums; Verordnungsermächtigung</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Die Mitglieder des Direktoriums stehen in einem öffentlich-rechtlichen Amtsverhältnis zum Bund. Sie müssen besondere fachliche Eignung besitzen und werden auf Vorschlag der Bundesregierung durch den Bundespräsidenten ernannt. Der Vorschlag der Bundesregierung erfolgt aufgrund von objektiven Auswahlkriterien, die das Bundesministerium der Finanzen veröffentlicht. Die Mitglieder des Direktoriums werden in der Regel für fünf Jahre bestellt. Wiederbestellung ist zulässig. Kein Mitglied des Direktoriums kann länger als 14 Jahre im Amt bleiben. Die maximale Gesamtdauer der Amtszeit beträgt 14 Jahre.</w:t>
      </w:r>
    </w:p>
    <w:p>
      <w:r>
        <w:t xml:space="preserve">(2) Das Amtsverhältnis der Mitglieder des Direktoriums beginnt mit der Aushändigung der Ernennungsurkunde, wenn nicht in der Urkunde ein späterer Tag bestimmt ist. Es endet mit Ablauf der Amtszeit oder mit der Entlassung. Der Bundespräsident entlässt ein Mitglied des Direktoriums auf dessen Verlangen oder auf Beschluss der Bundesregierung aus wichtigem Grund. Vor der Beschlussfassung der Bundesregierung ist dem Mitglied des Direktoriums Gelegenheit zur Stellungnahme zu geben. Im Falle der Beendigung des Amtsverhältnisses erhält das Mitglied des Direktoriums eine von dem Bundespräsidenten vollzogene Urkunde. Die Entlassung auf Verlangen wird mit der Aushändigung der Urkunde wirksam, wenn in ihr nicht ausdrücklich ein späterer Tag bestimmt ist. Die Entlassung aus wichtigem Grund wird mit dem Vollzug des Beschlusses der Bundesregierung wirksam, wenn sie sie nicht ausdrücklich für einen späteren Tag beschließt. Die Gründe für eine Entlassung veröffentlicht das Bundesministerium der Finanzen, es sei denn, das betroffene Mitglied des Direktoriums erhebt Einwände gegen die Veröffentlichung.</w:t>
      </w:r>
    </w:p>
    <w:p>
      <w:r>
        <w:t xml:space="preserve">(3) Die Mitglieder des Direktoriums leisten vor dem Bundesminister der Finanzen folgenden Eid: „Ich schwöre, das Grundgesetz für die Bundesrepublik Deutschland und alle in der Bundesrepublik Deutschland geltenden Gesetze zu wahren und meine Amtspflichten gewissenhaft zu erfüllen, so wahr mir Gott helfe. “ Der Eid kann auch ohne religiöse Beteuerung geleistet werden.</w:t>
      </w:r>
    </w:p>
    <w:p>
      <w:r>
        <w:t xml:space="preserve">(4) Die Mitglieder des Direktoriums dürfen ohne Zustimmung des Bundesministeriums der Finanzen neben ihrem Amt kein anderes besoldetes Amt, kein Gewerbe und keinen Beruf ausüben und weder der Leitung eines auf Erwerb gerichteten Unternehmens noch einem Aufsichtsrat, Verwaltungsrat, Beirat oder einem anderen Gremium eines öffentlichen oder privaten Unternehmens, noch einer Regierung oder einer gesetzgebenden Körperschaft des Bundes oder eines Landes angehören. Sie dürfen ohne Zustimmung des Bundesministeriums der Finanzen nicht gegen Entgelt außergerichtliche Gutachten erstellen. Die Zustimmung des Bundesministeriums der Finanzen ist unter den in § 99 Absatz 2 des Bundesbeamtengesetzes genannten Voraussetzungen zu versagen.</w:t>
      </w:r>
    </w:p>
    <w:p>
      <w:r>
        <w:t xml:space="preserve">(5) Die §§ 67 bis 69 und 71 des Bundesbeamtengesetzes gelten entsprechend. An die Stelle der obersten Dienstbehörde tritt das Bundesministerium der Finanzen.</w:t>
      </w:r>
    </w:p>
    <w:p>
      <w:r>
        <w:t xml:space="preserve">(5a) Die Regelungen des § 11a gelten entsprechend für die Mitglieder des Direktoriums. Das Bundesministerium der Finanzen kann durch Rechtsverordnung, die nicht der Zustimmung des Bundesrates bedarf, hierzu konkretisierende sowie ergänzende Regelungen zu den Amtsverhältnissen der Direktoriumsmitglieder treffen, soweit anerkannte Standards der Compliance und die Besonderheiten des öffentlich-rechtlichen Amtsverhältnisses der Direktoriumsmitglieder dies erfordern. In der Rechtsverordnung nach Satz 2 kann insbesondere bestimmt werden,</w:t>
      </w:r>
    </w:p>
    <w:p>
      <w:pPr>
        <w:ind w:left="420"/>
      </w:pPr>
      <w:r>
        <w:t xml:space="preserve">1. welchen Regelungen zu privaten Geschäften in Finanzinstrumenten im Sinne des Artikels 2 Absatz 1 Unterabsatz 1 der Verordnung (EU) Nr. 596/2014 in der Fassung vom 23. Oktober 2024 und Kryptowerten im Sinne des Artikels 3 Absatz 1 Nummer 5 der Verordnung (EU) 2023/1114 in der Fassung vom 13. Dezember 2023 die Mitglieder des Direktoriums unterliegen; hierbei können unter anderem Anzeigepflichten, Regelungen zu Interessenerklärungen, Handelsverbote, Kontrollverfahren und Verkaufsgebote vorgesehen werden, die mindestens dem Standard der Regelungen entsprechen, welche für die Beschäftigten der Bundesanstalt gelten;</w:t>
      </w:r>
    </w:p>
    <w:p>
      <w:pPr>
        <w:ind w:left="420"/>
      </w:pPr>
      <w:r>
        <w:t xml:space="preserve">2. welchen Regelungen die Mitglieder des Direktoriums unterliegen, wenn sie beabsichtigen, innerhalb der ersten 24 Monate nach ihrem Ausscheiden aus dem Amt eine Beschäftigung in Form einer Erwerbstätigkeit oder sonstigen Beschäftigung außerhalb des öffentlichen Dienstes, einschließlich einer freiberuflichen Tätigkeit, aufzunehmen; hierbei können unter anderem sowohl Anzeigepflichten gegenüber dem Bundesministerium vorgesehen werden als auch abgestufte Untersagungsmöglichkeiten in Fällen, in denen öffentliche Interessen beeinträchtigt oder schwer beeinträchtigt werden; für Untersagungen ist eine Entschädigung vorzusehen, die mindestens der halben Höhe des monatlichen Entgelts für die Tätigkeit als Direktoriumsmitglied entspricht.</w:t>
      </w:r>
    </w:p>
    <w:p>
      <w:r>
        <w:t xml:space="preserve">(6) Im Übrigen werden die Rechtsverhältnisse der Mitglieder des Direktoriums durch Verträge geregelt, die das Bundesministerium der Finanzen mit den Mitgliedern des Direktoriums schließt. Die Verträge bedürfen der Zustimmung der Bundesregierung.</w:t>
      </w:r>
    </w:p>
    <w:p>
      <w:r>
        <w:t xml:space="preserve">(7) Wird ein Bundesbeamter zum Mitglied des Direktoriums ernannt, scheidet er mit Beginn des Amtsverhältnisses aus dem bisherigen Amt aus. Für die Dauer des Amtsverhältnisses ruhen die Rechte und Pflichten aus dem Beamtenverhältnis. Dies gilt nicht für die Pflicht zur Amtsverschwiegenheit und das Verbot der Annahme von Belohnungen oder Geschenken. Satz 2 gilt längstens bis zum Eintritt oder bis zur Versetzung in den Ruhestand.</w:t>
      </w:r>
    </w:p>
    <w:p>
      <w:r>
        <w:t xml:space="preserve">(8) Endet das Amtsverhältnis nach Absatz 1 Satz 1 und wird die oder der Betroffene nicht anschließend in ein anderes öffentlich-rechtliches Amtsverhältnis zum Bund berufen, treten Beamtinnen und Beamte, wenn ihnen nicht innerhalb von drei Monaten unter den Voraussetzungen des § 28 Absatz 2 des Bundesbeamtengesetzes oder vergleichbarer landesgesetzlicher Regelungen ein anderes Amt übertragen wird, mit Ablauf dieser Frist aus ihrem Dienstverhältnis als Beamte in den einstweiligen Ruhestand, sofern sie zu diesem Zeitpunkt noch nicht die gesetzliche Altersgrenze erreicht haben. Im Übrigen gelten die Vorschriften des Bundesbeamtengesetzes zum einstweiligen Ruhestand. Sie erhalten ein Ruhegehalt, das sie in ihrem früheren Amt unter Hinzurechnung der Zeit des Amtsverhältnisses nach Absatz 1 Satz 1 erdient hätten. Die Zeit des Amtsverhältnisses nach Absatz 1 Satz 1 ist auch ruhegehaltfähig, wenn der Beamtin oder dem Beamten nach Satz 1 ein anderes Amt in einem Beamtenverhältnis zum Bund übertragen wird. Für die beamteten Mitglieder des Direktoriums gilt § 107b des Beamtenversorgungsgesetzes entsprechend. Eine vertragliche Versorgungsregelung nach Absatz 6 bleibt unberührt. Die Ruhens- und Anrechnungsvorschriften des Beamtenversorgungsgesetzes sind sinngemäß anzuwenden.</w:t>
      </w:r>
    </w:p>
    <w:p>
      <w:r>
        <w:t xml:space="preserve">(9) Die Absätze 7 und 8 gelten für Richter oder Richterinnen und für Berufssoldaten oder Berufssoldatinnen entsprechend.</w:t>
      </w:r>
    </w:p>
    <w:p>
      <w:r>
        <w:rPr>
          <w:color w:val="555555"/>
          <w:sz w:val="17"/>
        </w:rPr>
        <w:t xml:space="preserve">Zitiervorschlag: § 9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