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4i FinDAG — Absehen von einer Anhörung</w:t>
      </w:r>
    </w:p>
    <w:p>
      <w:r>
        <w:rPr>
          <w:color w:val="555555"/>
          <w:sz w:val="18"/>
        </w:rPr>
        <w:t xml:space="preserve">Finanzdienstleistungsaufsichtsgesetz</w:t>
      </w:r>
    </w:p>
    <w:p>
      <w:r>
        <w:rPr>
          <w:color w:val="555555"/>
          <w:sz w:val="18"/>
        </w:rPr>
        <w:t xml:space="preserve">Stand: 25.01.2023 (konsolidierte Textfassung, kein amtliches Inkrafttretensdatum)</w:t>
      </w:r>
    </w:p>
    <w:p>
      <w:r>
        <w:t xml:space="preserve">Die Bundesanstalt kann innerhalb ihrer gesetzlichen Befugnisse die Erteilung von Auskünften und die Vorlage von Unterlagen verlangen, ohne dass dem Adressaten zuvor nach § 28 Absatz 1 des Verwaltungsverfahrensgesetzes Gelegenheit gegeben werden muss, sich zu den für die Entscheidung erheblichen Tatsachen zu äußern.</w:t>
      </w:r>
    </w:p>
    <w:p>
      <w:r>
        <w:rPr>
          <w:color w:val="555555"/>
          <w:sz w:val="17"/>
        </w:rPr>
        <w:t xml:space="preserve">Zitiervorschlag: § 4i FinDAG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https://recht.nulegal.eu/gesetze/FinDAG/4i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