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FinDAG — Meinungsverschiedenheiten bei der laufenden Überwachung</w:t>
      </w:r>
    </w:p>
    <w:p>
      <w:r>
        <w:rPr>
          <w:color w:val="555555"/>
          <w:sz w:val="18"/>
        </w:rPr>
        <w:t xml:space="preserve">Finanzdienstleistungsaufsichtsgesetz</w:t>
      </w:r>
    </w:p>
    <w:p>
      <w:r>
        <w:rPr>
          <w:color w:val="555555"/>
          <w:sz w:val="18"/>
        </w:rPr>
        <w:t xml:space="preserve">Stand: 10.06.2019 (konsolidierte Textfassung, kein amtliches Inkrafttretensdatum)</w:t>
      </w:r>
    </w:p>
    <w:p>
      <w:r>
        <w:t xml:space="preserve">Meinungsverschiedenheiten von erheblicher Bedeutung zwischen der Bundesanstalt und der Deutschen Bundesbank im Rahmen der laufenden Überwachung nach dem Kreditwesengesetz und dem Zahlungsdiensteaufsichtsgesetz sollen einvernehmlich beigelegt werden. Kann ein Einvernehmen nicht hergestellt werden, entscheidet das Bundesministerium im Benehmen mit der Deutschen Bundesbank.</w:t>
      </w:r>
    </w:p>
    <w:p>
      <w:r>
        <w:rPr>
          <w:color w:val="555555"/>
          <w:sz w:val="17"/>
        </w:rPr>
        <w:t xml:space="preserve">Zitiervorschlag: § 4a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