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FinDAG — Aufgaben und Zusammenarbeit</w:t>
      </w:r>
    </w:p>
    <w:p>
      <w:r>
        <w:rPr>
          <w:color w:val="555555"/>
          <w:sz w:val="18"/>
        </w:rPr>
        <w:t xml:space="preserve">Finanzdienstleistungsaufsichtsgesetz</w:t>
      </w:r>
    </w:p>
    <w:p>
      <w:r>
        <w:rPr>
          <w:color w:val="555555"/>
          <w:sz w:val="18"/>
        </w:rPr>
        <w:t xml:space="preserve">Stand: 01.04.2026 (konsolidierte Textfassung, kein amtliches Inkrafttretensdatum)</w:t>
      </w:r>
    </w:p>
    <w:p>
      <w:r>
        <w:t xml:space="preserve">(1) Die Bundesanstalt übernimmt die dem Bundesaufsichtsamt für das Kreditwesen, dem Bundesaufsichtsamt für das Versicherungswesen und dem Bundesaufsichtsamt für den Wertpapierhandel übertragenen Aufgaben. Sie nimmt darüber hinaus die ihr nach anderen Bestimmungen übertragenen Aufgaben einschließlich der Beratungstätigkeit im Zusammenhang mit dem Aufbau und der Unterstützung ausländischer Aufsichtssysteme wahr. Die Bundesanstalt wird im Wege der Organleihe für das Bundesministerium der Finanzen im Rahmen der ihm nach den Vorschriften der Anstaltssatzung obliegenden Aufsicht über die Versorgungsanstalt des Bundes und der Länder tätig. Das Nähere einschließlich des Beginns der Organleihe wird im Einvernehmen mit dem Bundesministerium des Innern in einer Verwaltungsvereinbarung zwischen dem Bundesministerium der Finanzen und der Bundesanstalt geregelt. Die Bundesanstalt nimmt außerdem die Aufgaben der Abwicklungsbehörde nach § 3 Absatz 1 des Sanierungs- und Abwicklungsgesetzes sowie die ihr auf Grundlage des Restrukturierungsfondsgesetzes übertragenen Aufgaben wahr.</w:t>
      </w:r>
    </w:p>
    <w:p>
      <w:r>
        <w:t xml:space="preserve">(1a) Die Bundesanstalt ist innerhalb ihres gesetzlichen Auftrags auch dem Schutz der kollektiven Verbraucherinteressen verpflichtet. Unbeschadet weiterer Befugnisse nach anderen Gesetzen kann die Bundesanstalt gegenüber den Instituten und anderen Unternehmen, die nach dem Kreditwesengesetz, dem Zahlungsdiensteaufsichtsgesetz, dem Versicherungsaufsichtsgesetz, dem Wertpapierhandelsgesetz, dem Kapitalanlagegesetzbuch sowie nach anderen Gesetzen beaufsichtigt werden, alle Anordnungen treffen, die geeignet und erforderlich sind, um verbraucherschutzrelevante Missstände zu verhindern oder zu beseitigen, wenn eine generelle Klärung im Interesse des Verbraucherschutzes geboten erscheint. Ein Missstand im Sinne des Satzes 2 ist ein erheblicher, dauerhafter oder wiederholter Verstoß gegen ein Verbraucherschutzgesetz, der nach seiner Art oder seinem Umfang die Interessen nicht nur einzelner Verbraucherinnen oder Verbraucher gefährden kann oder beeinträchtigt. Zur Erfüllung ihrer Aufgaben und nach Maßgabe des Satzes 2 kann die Bundesanstalt auch im Wege verdeckter Testkäufe Finanzprodukte erwerben und Finanzdienstleistungen in Anspruch nehmen.</w:t>
      </w:r>
    </w:p>
    <w:p>
      <w:r>
        <w:t xml:space="preserve">(1b) Die Bundesanstalt veröffentlicht ihre mittelfristigen strategischen Ziele. Die Übersicht enthält insbesondere</w:t>
      </w:r>
    </w:p>
    <w:p>
      <w:pPr>
        <w:ind w:left="420"/>
      </w:pPr>
      <w:r>
        <w:t xml:space="preserve">1. die vorrangigen Aufsichtsschwerpunkte und deren Begründung sowie</w:t>
      </w:r>
    </w:p>
    <w:p>
      <w:pPr>
        <w:ind w:left="420"/>
      </w:pPr>
      <w:r>
        <w:t xml:space="preserve">2. die abstrakten Maßnahmen zur Erreichung der Ziele.</w:t>
      </w:r>
    </w:p>
    <w:p>
      <w:r>
        <w:t xml:space="preserve">Diese sind auf der Internetseite der Bundesanstalt zugänglich zu machen.</w:t>
      </w:r>
    </w:p>
    <w:p>
      <w:r>
        <w:t xml:space="preserve">(2) Die Bundesanstalt arbeitet mit anderen Stellen und Personen im In- und Ausland nach Maßgabe der in Absatz 1 genannten Gesetze und Bestimmungen sowie nach Maßgabe</w:t>
      </w:r>
    </w:p>
    <w:p>
      <w:pPr>
        <w:ind w:left="420"/>
      </w:pPr>
      <w:r>
        <w:t xml:space="preserve">1. der Verordnung (EU) Nr. 1092/2010 des Europäischen Parlaments und des Rates vom 24. November 2010 über die Finanzaufsicht der Europäischen Union auf Makroebene und zur Errichtung eines Europäischen Ausschusses für Systemrisiken (ABl. L 331 vom 15.12.2010, S. 1),</w:t>
      </w:r>
    </w:p>
    <w:p>
      <w:pPr>
        <w:ind w:left="420"/>
      </w:pPr>
      <w:r>
        <w:t xml:space="preserve">2. der Verordnung (EU) Nr. 1093/2010 des Europäischen Parlaments und des Rates vom 24. November 2010 zur Errichtung einer Europäischen Aufsichtsbehörde (Europäische Bankenaufsichtsbehörde), zur Änderung des Beschlusses Nr. 716/2009/EG und zur Aufhebung des Beschlusses 2009/78/EG der Kommission (ABl. L 331 vom 15.12.2010, S. 12),</w:t>
      </w:r>
    </w:p>
    <w:p>
      <w:pPr>
        <w:ind w:left="420"/>
      </w:pPr>
      <w:r>
        <w:t xml:space="preserve">3. der Verordnung (EU) Nr. 1094/2010 des Europäischen Parlaments und des Rates vom 24. November 2010 zur Errichtung einer Europäischen Aufsichtsbehörde (Europäische Aufsichtsbehörde für das Versicherungswesen und die betriebliche Altersversorgung), zur Änderung des Beschlusses Nr. 716/2009/EG und zur Aufhebung des Beschlusses 2009/79/EG der Kommission (ABl. L 331 vom 15.12.2010, S. 48) und</w:t>
      </w:r>
    </w:p>
    <w:p>
      <w:pPr>
        <w:ind w:left="420"/>
      </w:pPr>
      <w:r>
        <w:t xml:space="preserve">4. der Verordnung (EU) Nr. 1095/2010 des Europäischen Parlaments und des Rates vom 24. November 2010 zur Errichtung einer Europäischen Aufsichtsbehörde (Europäische Wertpapier- und Marktaufsichtsbehörde), zur Änderung des Beschlusses Nr. 716/2009/EG und zur Aufhebung des Beschlusses 2009/77/EG der Kommission (ABl. L 331 vom 15.12.2010, S. 84)</w:t>
      </w:r>
    </w:p>
    <w:p>
      <w:r>
        <w:t xml:space="preserve">zusammen.</w:t>
      </w:r>
    </w:p>
    <w:p>
      <w:r>
        <w:t xml:space="preserve">(2a) Die Bundesanstalt stellt in dem nach Artikel 32 Absatz 1 Satz 1 der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eingerichteten Überwachungsforum den hochrangigen Vertreter nach Artikel 32 Absatz 4 Buchstabe b der Verordnung (EU) 2022/2554. Vertreter der Bundesanstalt wirken in den gemeinsamen Untersuchungsteams nach Artikel 40 Absatz 1 der Verordnung (EU) 2022/2554 mit.</w:t>
      </w:r>
    </w:p>
    <w:p>
      <w:r>
        <w:t xml:space="preserve">(2b) Landesbehörden, die zuständige Behörden nach Artikel 46 der Verordnung (EU) 2022/2554 sind, können zur Erfüllung ihrer Verpflichtungen nach Artikel 19 Absatz 6 Buchstabe a und c der Verordnung (EU) 2022/2554 bestehende IT-Verfahren der Bundesanstalt nutzen. Die Einzelheiten sind durch Verwaltungsvereinbarung zu regeln.</w:t>
      </w:r>
    </w:p>
    <w:p>
      <w:r>
        <w:t xml:space="preserve">(3) Bei der Durchführung ihrer Aufgaben kann sich die Bundesanstalt anderer Personen und Einrichtungen bedienen.</w:t>
      </w:r>
    </w:p>
    <w:p>
      <w:r>
        <w:t xml:space="preserve">(4) Die Bundesanstalt nimmt ihre Aufgaben und Befugnisse nur im öffentlichen Interesse wahr.</w:t>
      </w:r>
    </w:p>
    <w:p>
      <w:r>
        <w:rPr>
          <w:color w:val="555555"/>
          <w:sz w:val="17"/>
        </w:rPr>
        <w:t xml:space="preserve">Zitiervorschlag: § 4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https://recht.nulegal.eu/gesetze/FinDAG/4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