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FinDAG — Verteilung der Versorgungskosten</w:t>
      </w:r>
    </w:p>
    <w:p>
      <w:r>
        <w:rPr>
          <w:color w:val="555555"/>
          <w:sz w:val="18"/>
        </w:rPr>
        <w:t xml:space="preserve">Finanzdienstleistungsaufsichtsgesetz</w:t>
      </w:r>
    </w:p>
    <w:p>
      <w:r>
        <w:rPr>
          <w:color w:val="555555"/>
          <w:sz w:val="18"/>
        </w:rPr>
        <w:t xml:space="preserve">Stand: 10.06.2019 (konsolidierte Textfassung, kein amtliches Inkrafttretensdatum)</w:t>
      </w:r>
    </w:p>
    <w:p>
      <w:r>
        <w:t xml:space="preserve">(1) Die Bundesanstalt trägt die Versorgungsbezüge für die bei ihr zurückgelegten Dienstzeiten der übernommenen Beamten der Bundesaufsichtsämter für das Kreditwesen, für das Versicherungswesen und für den Wertpapierhandel.</w:t>
      </w:r>
    </w:p>
    <w:p>
      <w:r>
        <w:t xml:space="preserve">(2) Der Bund trägt die Versorgungsbezüge für die Dienstzeiten der Beamten nach ihrer Anstellung bei den Bundesaufsichtsämtern für das Kreditwesen, für das Versicherungswesen und für den Wertpapierhandel bis zu ihrer Übernahme in die Bundesanstalt. Im Übrigen gilt § 107b des Beamtenversorgungsgesetzes entsprechend.</w:t>
      </w:r>
    </w:p>
    <w:p>
      <w:r>
        <w:t xml:space="preserve">(3) Für die vorhandenen Versorgungsempfänger der Bundesaufsichtsämter für das Kreditwesen, für das Versicherungswesen und für den Wertpapierhandel werden die Versorgungsbezüge vom Bund getragen.</w:t>
      </w:r>
    </w:p>
    <w:p>
      <w:r>
        <w:rPr>
          <w:color w:val="555555"/>
          <w:sz w:val="17"/>
        </w:rPr>
        <w:t xml:space="preserve">Zitiervorschlag: § 20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