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17c FinDAG — Gesonderte Erstattung bei gesonderten Prüfungen</w:t>
      </w:r>
    </w:p>
    <w:p>
      <w:r>
        <w:rPr>
          <w:color w:val="555555"/>
          <w:sz w:val="18"/>
        </w:rPr>
        <w:t xml:space="preserve">Finanzdienstleistungsaufsichtsgesetz</w:t>
      </w:r>
    </w:p>
    <w:p>
      <w:r>
        <w:rPr>
          <w:color w:val="555555"/>
          <w:sz w:val="18"/>
        </w:rPr>
        <w:t xml:space="preserve">Stand: 10.06.2019 (konsolidierte Textfassung, kein amtliches Inkrafttretensdatum)</w:t>
      </w:r>
    </w:p>
    <w:p>
      <w:r>
        <w:t xml:space="preserve">Die Kosten, die der Bundesanstalt durch die Wahrnehmung der Aufgaben nach § 108 Absatz 1 Satz 2 Nummer 1 des Wertpapierhandelsgesetzes entstehen, sind ihr von den Unternehmen im Sinne des § 106 des Wertpapierhandelsgesetzes gesondert zu erstatten und ihr auf Verlangen vorzuschießen. Eine gesonderte Erstattung von Kosten, die durch die Wahrnehmung der Aufgaben nach § 108 Absatz 1 Satz 2 Nummer 1 des Wertpapierhandelsgesetzes entstehen, findet nicht statt, wenn das Prüfungsergebnis der Bundesanstalt vom Prüfungsergebnis der Prüfstelle zu Gunsten des betroffenen Unternehmens abweicht. Zu den Kosten nach Satz 1 gehören auch die Kosten, mit denen die Bundesanstalt von der Prüfstelle im Rahmen ihrer Tätigkeit nach § 107 Absatz 4 des Wertpapierhandelsgesetzes oder von anderen Stellen, die im Rahmen solcher Maßnahmen für die Bundesanstalt tätig werden, belastet wird, sowie die Kosten für den Einsatz eigener Mitarbeiter. Das Bundesministerium wird ermächtigt, Einzelheiten der gesonderten Erstattung durch eine Rechtsverordnung zu bestimmen. Das Bundesministerium kann die Ermächtigung durch Rechtsverordnung auf die Bundesanstalt übertragen.</w:t>
      </w:r>
    </w:p>
    <w:p>
      <w:r>
        <w:rPr>
          <w:color w:val="555555"/>
          <w:sz w:val="17"/>
        </w:rPr>
        <w:t xml:space="preserve">Zitiervorschlag: § 17c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https://recht.nulegal.eu/gesetze/FinDAG/17c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