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17a FinDAG — Finanzierung gesonderter Aufgaben</w:t>
      </w:r>
    </w:p>
    <w:p>
      <w:r>
        <w:rPr>
          <w:color w:val="555555"/>
          <w:sz w:val="18"/>
        </w:rPr>
        <w:t xml:space="preserve">Finanzdienstleistungsaufsichtsgesetz</w:t>
      </w:r>
    </w:p>
    <w:p>
      <w:r>
        <w:rPr>
          <w:color w:val="555555"/>
          <w:sz w:val="18"/>
        </w:rPr>
        <w:t xml:space="preserve">Stand: 10.06.2019 (konsolidierte Textfassung, kein amtliches Inkrafttretensdatum)</w:t>
      </w:r>
    </w:p>
    <w:p>
      <w:r>
        <w:t xml:space="preserve">Die Bundesanstalt weist die in ihrem Verwaltungsbereich voraussichtlich zu erwartenden Einnahmen und zu leistenden Ausgaben für Aufgaben nach Abschnitt 16 des Wertpapierhandelsgesetzes und nach diesem Abschnitt in einem gesonderten Teil des Haushaltsplans einschließlich eines gesonderten Stellenplans aus. Die Summe der Einnahmen und Ausgaben der Prüfstelle sind in diesem Teil des Haushaltsplans zu berücksichtigen und ebenfalls gesondert auszuweisen. Dieser Teil des Haushaltsplans wird unter Berücksichtigung des nach § 342d Satz 2 des Handelsgesetzbuchs genehmigten Wirtschaftsplans der Prüfstelle vom Verwaltungsrat gesondert festgestellt. Die Kosten für die in Satz 1 genannten Aufgaben werden entsprechend gesondert erfasst und einem eigenen Buchungskreislauf zugeordnet. Im Übrigen sind § 12 Abs. 1, 3 bis 5 und § 13 Abs. 2 Satz 1 und 2 entsprechend anzuwenden.</w:t>
      </w:r>
    </w:p>
    <w:p>
      <w:r>
        <w:rPr>
          <w:color w:val="555555"/>
          <w:sz w:val="17"/>
        </w:rPr>
        <w:t xml:space="preserve">Zitiervorschlag: § 17a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