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16t FinDAG — Erstattung überzahlter Umlagebeträge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(1) Zu Unrecht erhobene Umlagebeträge und sonstige Überzahlungen auf Umlagebeträge, die nicht auf der Erhebung einer Vorauszahlung beruhen, sind nach Kenntniserlangung durch die Bundesanstalt zu erstatten.</w:t>
      </w:r>
    </w:p>
    <w:p>
      <w:r>
        <w:t xml:space="preserve">(2) Ansprüche auf Erstattung von zu Unrecht erhobenen Umlagebeträgen entstehen mit Unanfechtbarkeit der Feststellung der Rechtswidrigkeit; Ansprüche auf Erstattung von sonstigen Überzahlungen im Sinne des Absatzes 1 entstehen mit Zahlungseingang bei der Bundesanstalt.</w:t>
      </w:r>
    </w:p>
    <w:p>
      <w:r>
        <w:t xml:space="preserve">(3) Ansprüche auf Erstattung von zu Unrecht erhobenen Umlagebeträgen und von sonstigen Überzahlungen im Sinne des Absatzes 1 erlöschen durch Verjährung, wenn sie nicht bis zum Ablauf des fünften Kalenderjahres geltend gemacht werden, das auf die Entstehung des Anspruchs folgt.</w:t>
      </w:r>
    </w:p>
    <w:p>
      <w:r>
        <w:rPr>
          <w:color w:val="555555"/>
          <w:sz w:val="17"/>
        </w:rPr>
        <w:t xml:space="preserve">Zitiervorschlag: § 16t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https://recht.nulegal.eu/gesetze/FinDAG/16t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