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16p FinDAG — Stundung; Erlass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(1) Die Bundesanstalt kann anordnen, dass Anträge der Umlagepflichtigen auf Stundung oder Erlass von Gebühren-, Umlage- oder sonstigen Forderungen unter Nutzung eines durch die Bundesanstalt bereitgestellten elektronischen Kommunikationsverfahrens und in einer durch die Bundesanstalt vorgegebenen Form zu stellen sind.</w:t>
      </w:r>
    </w:p>
    <w:p>
      <w:r>
        <w:t xml:space="preserve">(2) Die Bundesanstalt kann mit Zustimmung des Bundesministeriums der Finanzen und des Bundesrechnungshofes ergänzend zu den Allgemeinen Verwaltungsvorschriften zu § 59 Absatz 1 Satz 1 Nummer 1 und 3 der Bundeshaushaltsordnung regeln, bis zu welchem Betrag Stundungs- und Erlassanträge von Umlagepflichtigen, die unter Aufsicht der Bundesanstalt stehen, wegen ihrer geringen Höhe nicht berücksichtigt werden.</w:t>
      </w:r>
    </w:p>
    <w:p>
      <w:r>
        <w:rPr>
          <w:color w:val="555555"/>
          <w:sz w:val="17"/>
        </w:rPr>
        <w:t xml:space="preserve">Zitiervorschlag: § 16p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https://recht.nulegal.eu/gesetze/FinDAG/16p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