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16j FinDAG — Bemessungsgrundlagen der Umlage im Aufgabenbereich Wertpapierhandel</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Für die Umlagepflichtigen in der Gruppe Wertpapierdienstleistungsunternehmen und Anlageverwalter ist der Umlagebetrag nach dem Verhältnis der Nettoerträge des einzelnen Umlagepflichtigen zum Gesamtbetrag der Nettoerträge aller Umlagepflichtigen der Gruppe nach Maßgabe des Satzes 2 zu bemessen. Die Nettoerträge setzen sich wie folgt zusammen:</w:t>
      </w:r>
    </w:p>
    <w:p>
      <w:pPr>
        <w:ind w:left="420"/>
      </w:pPr>
      <w:r>
        <w:t xml:space="preserve">1. bei Kreditinstituten aus folgenden Positionen der Anlage 1 (zu § 70) zur Prüfungsberichtsverordnung (SON01)</w:t>
      </w:r>
    </w:p>
    <w:p>
      <w:pPr>
        <w:ind w:left="780"/>
      </w:pPr>
      <w:r>
        <w:t xml:space="preserve">a) dem Provisionsergebnis (Position 033 der Anlage SON01), wenn der Betrag positiv oder null ist,</w:t>
      </w:r>
    </w:p>
    <w:p>
      <w:pPr>
        <w:ind w:left="780"/>
      </w:pPr>
      <w:r>
        <w:t xml:space="preserve">b) zuzüglich des Nettoergebnisses des Handelsbestandes aus Geschäften mit Wertpapieren des Handelsbestandes (Position 034 der Anlage SON01), wenn der Saldo positiv ist,</w:t>
      </w:r>
    </w:p>
    <w:p>
      <w:pPr>
        <w:ind w:left="780"/>
      </w:pPr>
      <w:r>
        <w:t xml:space="preserve">c) zuzüglich des Nettoergebnisses des Handelsbestandes aus Geschäften mit Devisen und Edelmetallen (Position 035 der Anlage SON01), wenn der Saldo positiv ist, und</w:t>
      </w:r>
    </w:p>
    <w:p>
      <w:pPr>
        <w:ind w:left="780"/>
      </w:pPr>
      <w:r>
        <w:t xml:space="preserve">d) zuzüglich des Nettoergebnisses des Handelsbestandes aus Geschäften mit Derivaten (Position 036 der Anlage SON01), wenn der Saldo positiv ist,</w:t>
      </w:r>
    </w:p>
    <w:p>
      <w:pPr>
        <w:ind w:left="420"/>
      </w:pPr>
      <w:r>
        <w:t xml:space="preserve">2. bei Finanzdienstleistungsinstituten, die mit Finanzinstrumenten auf eigene Rechnung handeln oder die Befugnis haben, sich Eigentum oder Besitz an Geldern oder Wertpapieren von Kunden zu verschaffen, aus folgenden Positionen der Anlage 1 (zu § 70) zur Prüfungsberichtsverordnung (SON01):</w:t>
      </w:r>
    </w:p>
    <w:p>
      <w:pPr>
        <w:ind w:left="780"/>
      </w:pPr>
      <w:r>
        <w:t xml:space="preserve">a) dem Saldo aus den Erträgen aus Geschäften mit Wertpapieren des Handelsbestandes (Position 316 der Anlage SON01) und Aufwendungen aus Geschäften mit Wertpapieren des Handelsbestandes (Position 315 der Anlage SON01), wenn der Saldo positiv ist,</w:t>
      </w:r>
    </w:p>
    <w:p>
      <w:pPr>
        <w:ind w:left="780"/>
      </w:pPr>
      <w:r>
        <w:t xml:space="preserve">b) zuzüglich des Saldos aus Erträgen aus Geschäften mit Devisen und Edelmetallen (Position 318 der Anlage SON01) und den Aufwendungen aus Geschäften mit Devisen und Edelmetallen (Position 317 der Anlage SON01), wenn der Saldo positiv ist,</w:t>
      </w:r>
    </w:p>
    <w:p>
      <w:pPr>
        <w:ind w:left="780"/>
      </w:pPr>
      <w:r>
        <w:t xml:space="preserve">c) zuzüglich des Saldos aus Erträgen aus Geschäften mit Derivaten (Position 320 der Anlage SON01) und den Aufwendungen aus Geschäften mit Derivaten (Position 319 der Anlage SON01), wenn der Saldo positiv ist,</w:t>
      </w:r>
    </w:p>
    <w:p>
      <w:pPr>
        <w:ind w:left="420"/>
      </w:pPr>
      <w:r>
        <w:t xml:space="preserve">3. bei Wertpapierinstituten, die mit Finanzinstrumenten auf eigene Rechnung handeln oder die Befugnis haben, sich Eigentum oder Besitz an Geldern oder Wertpapieren von Kunden zu verschaffen, aus folgenden Positionen der Anlage 1 zur Wertpapierinstitut-Prüfungsberichtsverordnung (WPF-SON01):</w:t>
      </w:r>
    </w:p>
    <w:p>
      <w:pPr>
        <w:ind w:left="780"/>
      </w:pPr>
      <w:r>
        <w:t xml:space="preserve">a) dem Saldo aus den Erträgen aus Geschäften mit Wertpapieren des Handelsbestandes (Position 316 der Anlage WPF-SON01) und Aufwendungen aus Geschäften mit Wertpapieren des Handelsbestandes (Position 315 der Anlage WPF-SON01), wenn der Saldo positiv ist,</w:t>
      </w:r>
    </w:p>
    <w:p>
      <w:pPr>
        <w:ind w:left="780"/>
      </w:pPr>
      <w:r>
        <w:t xml:space="preserve">b) zuzüglich des Saldos aus Erträgen aus Geschäften mit Devisen und Edelmetallen (Position 318 der Anlage WPF-SON01) und den Aufwendungen aus Geschäften mit Devisen und Edelmetallen (Position 317 der Anlage WPF-SON01), wenn der Saldo positiv ist,</w:t>
      </w:r>
    </w:p>
    <w:p>
      <w:pPr>
        <w:ind w:left="780"/>
      </w:pPr>
      <w:r>
        <w:t xml:space="preserve">c) zuzüglich des Saldos aus Erträgen aus Geschäften mit Derivaten (Position 320 der Anlage SON01) und den Aufwendungen aus Geschäften mit Derivaten (Position 319 der Anlage SON01), wenn der Saldo positiv ist,</w:t>
      </w:r>
    </w:p>
    <w:p>
      <w:pPr>
        <w:ind w:left="420"/>
      </w:pPr>
      <w:r>
        <w:t xml:space="preserve">4. bei allen übrigen Wertpapierdienstleistungsunternehmen, die nicht auf eigene Rechnung mit Finanzinstrumenten handeln und die nicht befugt sind, sich bei der Erbringung von Finanzdienstleistungen Eigentum oder Besitz an Geldern oder Wertpapieren von Kunden zu verschaffen, aus den Provisionserträgen (Position 313 der Anlage SON04 oder der Anlage WPF-SON01) abzüglich der Provisionsaufwendungen (Position 314 der Anlage SON04 oder der Anlage WPF-SON01).</w:t>
      </w:r>
    </w:p>
    <w:p>
      <w:r>
        <w:t xml:space="preserve">Zugrunde zu legen sind die Ertragsdaten des dem Umlagejahr vorausgehenden Kalenderjahres.</w:t>
      </w:r>
    </w:p>
    <w:p>
      <w:r>
        <w:t xml:space="preserve">(2) Für die Umlagepflichtigen der Gruppe Wertpapierdienstleistungsunternehmen und Anlageverwalter sind bei der Ermittlung der umlagerelevanten Ergebnisse nach Absatz 1 auf Antrag von dem Provisionsergebnis abzuziehen</w:t>
      </w:r>
    </w:p>
    <w:p>
      <w:pPr>
        <w:ind w:left="420"/>
      </w:pPr>
      <w:r>
        <w:t xml:space="preserve">1. Nettoerträge aus dem Zahlungsverkehr,</w:t>
      </w:r>
    </w:p>
    <w:p>
      <w:pPr>
        <w:ind w:left="420"/>
      </w:pPr>
      <w:r>
        <w:t xml:space="preserve">2. Nettoerträge aus dem Außenhandelsgeschäft,</w:t>
      </w:r>
    </w:p>
    <w:p>
      <w:pPr>
        <w:ind w:left="420"/>
      </w:pPr>
      <w:r>
        <w:t xml:space="preserve">3. Nettoerträge aus dem Reisezahlungsmittelgeschäft,</w:t>
      </w:r>
    </w:p>
    <w:p>
      <w:pPr>
        <w:ind w:left="420"/>
      </w:pPr>
      <w:r>
        <w:t xml:space="preserve">4. Nettoerträge für Treuhandkredite und Verwaltungskredite,</w:t>
      </w:r>
    </w:p>
    <w:p>
      <w:pPr>
        <w:ind w:left="420"/>
      </w:pPr>
      <w:r>
        <w:t xml:space="preserve">5. Nettoerträge aus der Vermittlung von Kredit-, Spar-, Bauspar- und Versicherungsverträgen,</w:t>
      </w:r>
    </w:p>
    <w:p>
      <w:pPr>
        <w:ind w:left="420"/>
      </w:pPr>
      <w:r>
        <w:t xml:space="preserve">6. Nettoerträge aus der Kreditbearbeitung und dem Avalgeschäft,</w:t>
      </w:r>
    </w:p>
    <w:p>
      <w:pPr>
        <w:ind w:left="420"/>
      </w:pPr>
      <w:r>
        <w:t xml:space="preserve">7. Nettoerträge aus von ausländischen Tochterunternehmen für Einlagengeschäfte erhaltenen Vergütungen,</w:t>
      </w:r>
    </w:p>
    <w:p>
      <w:pPr>
        <w:ind w:left="420"/>
      </w:pPr>
      <w:r>
        <w:t xml:space="preserve">8. Nettoerträge aus Nachlassbearbeitungen,</w:t>
      </w:r>
    </w:p>
    <w:p>
      <w:pPr>
        <w:ind w:left="420"/>
      </w:pPr>
      <w:r>
        <w:t xml:space="preserve">9. Nettoerträge für Electronic Banking Services,</w:t>
      </w:r>
    </w:p>
    <w:p>
      <w:pPr>
        <w:ind w:left="420"/>
      </w:pPr>
      <w:r>
        <w:t xml:space="preserve">10. Nettoerträge aus Gutachtertätigkeiten und</w:t>
      </w:r>
    </w:p>
    <w:p>
      <w:pPr>
        <w:ind w:left="420"/>
      </w:pPr>
      <w:r>
        <w:t xml:space="preserve">11. Nettoerträge aus sonstigen Bearbeitungsentgelten.</w:t>
      </w:r>
    </w:p>
    <w:p>
      <w:r>
        <w:t xml:space="preserve">Die Abzugsposten nach Satz 1 sind von der Bundesanstalt nur zu berücksichtigen, wenn sie in der Summe mehr als ein Fünftel des gesamten Provisionsergebnisses betragen und der Umlagepflichtige die Nichtberücksichtigung vor dem 1. Februar des auf das Umlagejahr folgenden Kalenderjahres beantragt sowie das Vorliegen der Voraussetzungen durch Vorlage geeigneter Unterlagen nachgewiesen hat; Tatsachen, die verspätet vorgetragen oder nachgewiesen werden, bleiben unberücksichtigt. Die Beträge der Abzugsposten sind durch eine Bestätigung eines Wirtschaftsprüfers, einer Wirtschaftsprüfungsgesellschaft, eines vereidigten Buchprüfers, einer Buchprüfungsgesellschaft, eines genossenschaftlichen Prüfungsverbandes oder einer Prüfungsstelle der Sparkassen- und Giroverbände nachzuweisen.</w:t>
      </w:r>
    </w:p>
    <w:p>
      <w:r>
        <w:t xml:space="preserve">(3) Für Umlagepflichtige der Gruppe Wertpapierdienstleistungsunternehmen und Anlageverwalter, die nicht das ganze Jahr umlagepflichtig waren, ist abweichend von den Absätzen 1 und 2 der Bruchteil der ermittelten Erträge maßgeblich, der dem Verhältnis der Anzahl der angefangenen Monate, in denen die Umlagepflicht bestand, zur Anzahl der Monate des Umlagejahres entspricht.</w:t>
      </w:r>
    </w:p>
    <w:p>
      <w:r>
        <w:t xml:space="preserve">(4) In der Gruppe Wertpapierdienstleistungsunternehmen und Anlageverwalter haben die Unternehmen bis spätestens zum 30. Juni des dem Umlagejahr folgenden Kalenderjahres die für die Bemessung des Umlagebetrages notwendigen, von einem Wirtschaftsprüfer, einer Wirtschaftsprüfungsgesellschaft, einem genossenschaftlichen Prüfungsverband oder einer Prüfungsstelle der Sparkassen- und Giroverbände bestätigten Daten mitzuteilen, sofern bis zu diesem Zeitpunkt noch kein Prüfungsbericht über den Jahresabschluss für das letzte Geschäftsjahr bei der Bundesanstalt eingereicht worden ist. Bei Finanzdienstleistungsinstituten und Wertpapierinstitut, deren Bilanzsumme des letzten Geschäftsjahres 150 Millionen Euro nicht übersteigt, können die Bestätigungen nach Satz 1 auch durch vereidigte Buchprüfer oder Buchprüfungsgesellschaften vorgenommen werden. Liegen die Daten nach Satz 1 am 1. Juli nicht vor, schätzt die Bundesanstalt die Erträge und setzt den Umlagebetrag anhand der geschätzten Daten fest. Die Bundesanstalt kann auf Antrag eine angemessene Nachfrist von bis zu einem Monat zur Einreichung der in Satz 1 genannten Daten gewähren. Bei der Schätzung hat die Bundesanstalt im Regelfall Ertragsdaten des Umlagepflichtigen aus vorangegangenen Geschäftsjahren zugrunde zu legen. Liegen keinerlei Daten im Sinne des Satzes 5 und auch keine entsprechenden Daten für die nachfolgenden Geschäftsjahre vor, sind die Daten von Unternehmen der Umlagegruppe mit vergleichbarer Größe entsprechend heranzuziehen. Bei Unternehmen, denen im Umlagejahr erstmals die Erlaubnis erteilt wurde oder die ihre erste erlaubnispflichtige Geschäftstätigkeit aufgenommen haben, entspricht der Umlagebetrag dem Mindestumlagebetrag nach Absatz 6.</w:t>
      </w:r>
    </w:p>
    <w:p>
      <w:r>
        <w:t xml:space="preserve">(5) Für Umlagepflichtige der Gruppe Emittenten ist der Umlagebetrag nach den Umsätzen von Wertpapieren der Umlagepflichtigen zu bemessen, die an den inländischen Handelsplätzen im Sinne von § 2 Absatz 22 des Wertpapierhandelsgesetzes in einem Umlagejahr angefallen sind. Wertpapiere im Sinne von Satz 1 sind Wertpapiere im Sinne von § 2 Absatz 1 des Wertpapierhandelsgesetzes, die an einer inländischen Börse zum Handel zugelassen oder in den Freiverkehr einbezogen sind. Bei der Bemessung des Umlagebetrages ist vorbehaltlich der Regelungen des Absatzes 6 die Höhe der von den inländischen Handelsplätzen nach Satz 4 an die Bundesanstalt gemeldeten Umsätze für den einzelnen Umlagepflichtigen in das Verhältnis zum Gesamtbetrag der für alle Umlagepflichtigen gemeldeten Umsätze zu setzen. Die Handelsplätze haben der Bundesanstalt zur Festsetzung der Umlage und der Umlagevorauszahlung über die Umsätze nach Satz 1 Auskunft zu erteilen und Unterlagen vorzulegen. Die Bundesanstalt kann von den Emittenten Auskunft und die Vorlage von Unterlagen verlangen, soweit dies zur Festsetzung der Umlage und der Umlagevorauszahlung erforderlich ist. Die nach Satz 4 vorzulegenden Unterlagen umfassen Bestätigungen der gemeldeten Umsätze je Wertpapier durch einen Wirtschaftsprüfer, eine Wirtschaftsprüfungsgesellschaft, einen vereidigten Buchprüfer oder eine Buchprüfungsgesellschaft. Die entsprechenden Unterlagen sind nach Aufforderung durch die Bundesanstalt binnen drei Monaten vorzulegen.</w:t>
      </w:r>
    </w:p>
    <w:p>
      <w:r>
        <w:t xml:space="preserve">(5a) Auf die Bemessung der Umlagebeträge in der Gruppe Datenbereitstellungsdienstleister ist § 16f Absatz 1 Nummer 3 entsprechend anzuwenden.</w:t>
      </w:r>
    </w:p>
    <w:p>
      <w:r>
        <w:t xml:space="preserve">(6) Der von jedem Umlagepflichtigen der Gruppe Wertpapierdienstleistungsunternehmen und Anlageverwaltung sowie der Gruppe Emittenten zu entrichtende Umlagebetrag beträgt in jeder Gruppe mindestens 1 200 Euro.</w:t>
      </w:r>
    </w:p>
    <w:p>
      <w:r>
        <w:t xml:space="preserve">(7) Das Bundesministerium der Finanzen wird ermächtigt, durch Rechtsverordnung ohne Zustimmung des Bundesrates näher zu bestimmen, auf welchem Wege und in welcher Form der Antrag und die Nachweise nach Absatz 2 sowie die Umsätze nach Absatz 5 der Bundesanstalt zu übermitteln sind und wie sich die Umsätze nach Absatz 5 bestimmen. Das Bundesministerium kann die Ermächtigung zum Erlass der Rechtsverordnung nach Satz 1 auf die Bundesanstalt übertragen.</w:t>
      </w:r>
    </w:p>
    <w:p>
      <w:r>
        <w:rPr>
          <w:color w:val="555555"/>
          <w:sz w:val="17"/>
        </w:rPr>
        <w:t xml:space="preserve">Zitiervorschlag: § 16j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