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16i FinDAG — Kostenermittlung und Umlagepflicht im Aufgabenbereich Wertpapierhandel</w:t>
      </w:r>
    </w:p>
    <w:p>
      <w:r>
        <w:rPr>
          <w:color w:val="555555"/>
          <w:sz w:val="18"/>
        </w:rPr>
        <w:t xml:space="preserve">Finanzdienstleistungsaufsichtsgesetz</w:t>
      </w:r>
    </w:p>
    <w:p>
      <w:r>
        <w:rPr>
          <w:color w:val="555555"/>
          <w:sz w:val="18"/>
        </w:rPr>
        <w:t xml:space="preserve">Stand: 10.06.2019 (konsolidierte Textfassung, kein amtliches Inkrafttretensdatum)</w:t>
      </w:r>
    </w:p>
    <w:p>
      <w:r>
        <w:t xml:space="preserve">(1) Innerhalb des Aufgabenbereichs Wertpapierhandel hat eine gesonderte Ermittlung der Kosten nach folgenden Gruppen zu erfolgen:</w:t>
      </w:r>
    </w:p>
    <w:p>
      <w:pPr>
        <w:ind w:left="420"/>
      </w:pPr>
      <w:r>
        <w:t xml:space="preserve">1. Gruppe Wertpapierdienstleistungsunternehmen und Anlageverwalter: Wertpapierdienstleistungsunternehmen im Sinne des § 2 Absatz 10 des Wertpapierhandelsgesetzes und Institute und Unternehmen, auf die § 2 Absatz 8 Satz 7 des Wertpapierhandelsgesetzes anzuwenden ist,</w:t>
      </w:r>
    </w:p>
    <w:p>
      <w:pPr>
        <w:ind w:left="420"/>
      </w:pPr>
      <w:r>
        <w:t xml:space="preserve">2. Gruppe Emittenten: Emittenten mit Sitz im Inland, deren Wertpapiere an einer inländischen Börse zum Handel zugelassen oder in den Freiverkehr einbezogen sind,</w:t>
      </w:r>
    </w:p>
    <w:p>
      <w:pPr>
        <w:ind w:left="420"/>
      </w:pPr>
      <w:r>
        <w:t xml:space="preserve">3. Gruppe Datenbereitstellungsdienstleister: Betreiber von Datenbereitstellungsdiensten mit einer Erlaubnis oder einer Fiktion der Erlaubnis zum Erbringen von Datenbereitstellungsdiensten nach § 32 Absatz 1f des Kreditwesengesetzes, soweit sie nach dem Wertpapierhandelsgesetz beaufsichtigt werden.</w:t>
      </w:r>
    </w:p>
    <w:p>
      <w:r>
        <w:t xml:space="preserve">Der Bund und die Länder sind keine Emittenten im Sinne von Satz 1 Nummer 2. Die Kosten des Aufgabenbereichs Wertpapierhandel, die einer Gruppe nach Satz 1 nicht unmittelbar zugeordnet werden können, sind gesondert zu erfassen. Sie sind auf die Gruppen entsprechend dem Verhältnis aufzuteilen, das zwischen den Kosten besteht, die den Gruppen unmittelbar zuzurechnen sind. § 16b Absatz 4 Satz 1 und 3 ist entsprechend anzuwenden. § 16c ist mit der Maßgabe entsprechend anzuwenden, dass Fehlbeträge, nicht eingegangene Beträge und Überschüsse erst nach der Aufteilung der Kosten nach Satz 1 gruppenbezogen zu berücksichtigen sind.</w:t>
      </w:r>
    </w:p>
    <w:p>
      <w:r>
        <w:t xml:space="preserve">(2) Umlagepflichtig für den Aufgabenbereich Wertpapierhandel ist, wer den in Absatz 1 genannten Gruppen angehört. Die Umlagepflicht in den Gruppen Wertpapierdienstleistungsunternehmen und Anlageverwalter sowie Datenbereitstellungsdienstleister besteht mit Erteilung oder Fiktion der Erlaubnis zum Erbringen einer oder mehrerer Wertpapierdienstleistungen, mit Erteilung der Erlaubnis zum Erbringen der Dienstleistung Anlageverwaltung oder mit Erteilung oder Fiktion der Erlaubnis zum Erbringen von Datenbereitstellungsdiensten. Sie endet in dem Jahr des Erlöschens der Erlaubnis. Die Umlagepflicht besteht auch dann, wenn die Voraussetzungen nicht das ganze Jahr vorliegen. Die Umlagepflicht in der Gruppe der Emittenten erstreckt sich auf die Umlagejahre, in denen ein Emittent die in Absatz 1 Satz 1 Nummer 2 genannten Voraussetzungen erfüllt.</w:t>
      </w:r>
    </w:p>
    <w:p>
      <w:r>
        <w:t xml:space="preserve">(3) Fehlbeträge, nicht eingegangene Beträge und Überschüsse der Umlageabrechnungen für die Jahre 2009 bis 2012 in den in § 6 Absatz 2 Satz 1 Nummer 3 Buchstabe a bis c der Verordnung über die Erhebung von Gebühren und die Umlegung von Kosten nach dem Finanzdienstleistungsaufsichtsgesetz in der bis zum 31. Dezember 2012 geltenden Fassung genannten Gruppen des Aufgabenbereichs Wertpapierhandel gelten ab der Abrechnung für das Umlagejahr 2013 als Fehlbeträge, nicht eingegangene Beträge und Überschüsse der Gruppe Wertpapierdienstleistungsunternehmen und Anlageverwalter.</w:t>
      </w:r>
    </w:p>
    <w:p>
      <w:r>
        <w:rPr>
          <w:color w:val="555555"/>
          <w:sz w:val="17"/>
        </w:rPr>
        <w:t xml:space="preserve">Zitiervorschlag: § 16i FinDAG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https://recht.nulegal.eu/gesetze/FinDAG/16i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