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16f FinDAG — Bemessungsgrundlagen der Umlage im Aufgabenbereich Banken und sonstige Finanzdienstleistungen</w:t>
      </w:r>
    </w:p>
    <w:p>
      <w:r>
        <w:rPr>
          <w:color w:val="555555"/>
          <w:sz w:val="18"/>
        </w:rPr>
        <w:t xml:space="preserve">Finanzdienstleistungsaufsichtsgesetz</w:t>
      </w:r>
    </w:p>
    <w:p>
      <w:r>
        <w:rPr>
          <w:color w:val="555555"/>
          <w:sz w:val="18"/>
        </w:rPr>
        <w:t xml:space="preserve">Stand: 01.04.2026 (konsolidierte Textfassung, kein amtliches Inkrafttretensdatum)</w:t>
      </w:r>
    </w:p>
    <w:p>
      <w:r>
        <w:t xml:space="preserve">(1) Der Umlagebetrag für die Umlagepflichtigen im Aufgabenbereich Banken und sonstige Finanzdienstleistungen ist zu bemessen:</w:t>
      </w:r>
    </w:p>
    <w:p>
      <w:pPr>
        <w:ind w:left="420"/>
      </w:pPr>
      <w:r>
        <w:t xml:space="preserve">1. in den Gruppen Kredit- und Finanzdienstleistungsinstitute, Factoring- und Finanzierungsleasingunternehmen sowie Abwicklungsanstalten vorbehaltlich des Absatzes 2 und des § 16g jeweils nach dem Verhältnis der Bilanzsumme des einzelnen Umlagepflichtigen zum Gesamtbetrag der Bilanzsummen aller Umlagepflichtigen der Gruppe. Maßgebend ist die auf der Grundlage der jeweils anzuwendenden Rechnungslegungsvorschriften aufgestellte und festgestellte Bilanz für das Geschäftsjahr, das dem Umlagejahr vorausgeht; bei den Schwarmfinanzierungsdienstleistern, die keine großen Kapitalgesellschaften sind, ist die durch eine Bescheinigung eines Wirtschaftsprüfers, einer Wirtschaftsprüfungsgesellschaft, eines vereidigten Buchprüfers, einer Buchprüfungsgesellschaft, eines genossenschaftlichen Prüfungsverbandes oder einer Prüfungsstelle der Sparkassen bestätigte Bilanzsumme maßgebend; bei den Abwicklungsanstalten ist die Bilanz für das im Umlagejahr endende Geschäftsjahr maßgebend;</w:t>
      </w:r>
    </w:p>
    <w:p>
      <w:pPr>
        <w:ind w:left="420"/>
      </w:pPr>
      <w:r>
        <w:t xml:space="preserve">2. in der Gruppe Kapitalverwaltungsgesellschaften und extern verwaltete OGAW-Investmentaktiengesellschaften nach dem Wert der von den Kapitalverwaltungsgesellschaften verwalteten Investmentvermögen und den von extern verwalteten OGAW-Investmentaktiengesellschaften zur gemeinschaftlichen Kapitalanlage verwalteten und angelegten Mitteln. Dabei ist die Summe der Werte aller von einem Umlagepflichtigen verwalteten Investmentvermögen oder zur gemeinschaftlichen Kapitalanlage verwalteten oder angelegten Mittel in das Verhältnis zu dem Gesamtbetrag des Wertes zu setzen, den die Investmentvermögen und zur gemeinschaftlichen Kapitalanlage verwalteten oder angelegten Mittel aller Umlagepflichtigen haben. Maßgebend ist jeweils der Wert, der nach § 101 Absatz 1 Satz 3 Nummer 1 Satz 6 oder nach § 120 Absatz 2 und 5, § 135 Absatz 3 und 5, § 148 oder § 158 jeweils in Verbindung mit § 101 Absatz 1 Satz 3 Nummer 1 Satz 6 des Kapitalanlagegesetzbuchs in dem Jahresbericht für das Geschäftsjahr angegeben wird, das dem Umlagejahr vorausgeht. Investmentvermögen, die keine Spezial-AIF im Sinne des § 1 Absatz 6 Satz 1 des Kapitalanlagegesetzbuchs sind, oder Mittel von OGAW-Investmentaktiengesellschaften werden bei der Berechnung nach Satz 2 doppelt gewichtet;</w:t>
      </w:r>
    </w:p>
    <w:p>
      <w:pPr>
        <w:ind w:left="420"/>
      </w:pPr>
      <w:r>
        <w:t xml:space="preserve">3. in der Gruppe Datenbereitstellungsdienst nach dem Verhältnis zwischen der Anzahl der angefangenen Monate, in denen der einzelne Umlagepflichtige umlagepflichtig war, zur Gesamtzahl der angefangenen Monate eines jeden Umlagepflichtigen der Gruppe, in denen dieser jeweils im Umlagejahr umlagepflichtig war.</w:t>
      </w:r>
    </w:p>
    <w:p>
      <w:r>
        <w:t xml:space="preserve">(2) Abweichend von Absatz 1 Nummer 1 gilt als Bilanzsumme:</w:t>
      </w:r>
    </w:p>
    <w:p>
      <w:pPr>
        <w:ind w:left="420"/>
      </w:pPr>
      <w:r>
        <w:t xml:space="preserve">1. für Umlagepflichtige der Gruppe Kredit- und Finanzdienstleistungsinstitute,</w:t>
      </w:r>
    </w:p>
    <w:p>
      <w:pPr>
        <w:ind w:left="780"/>
      </w:pPr>
      <w:r>
        <w:t xml:space="preserve">a) die in ihrer Bilanz auf der Aktivseite zu mehr als einem Fünftel Treuhandgeschäfte im Sinne des § 6 Absatz 1 und 2 der Kreditinstituts-Rechnungslegungsverordnung ausweisen, die um die Beträge dieser Geschäfte gekürzte Bilanzsumme,</w:t>
      </w:r>
    </w:p>
    <w:p>
      <w:pPr>
        <w:ind w:left="780"/>
      </w:pPr>
      <w:r>
        <w:t xml:space="preserve">b) deren erlaubnispflichtige Tätigkeit sich nach § 2 Absatz 3 oder Absatz 6 Satz 2 des Kreditwesengesetzes beurteilt, der dem Verhältnis der von ihnen betriebenen, ihnen nicht eigentümlichen Bankgeschäfte oder Finanzdienstleistungen zum Gesamtgeschäft entsprechende Bruchteil der Bilanzsumme,</w:t>
      </w:r>
    </w:p>
    <w:p>
      <w:pPr>
        <w:ind w:left="780"/>
      </w:pPr>
      <w:r>
        <w:t xml:space="preserve">c) die zu mehr als einem Fünftel bankgeschäfts-, finanzdienstleistungs-, wertpapierinstituts-,zahlungsdienst-, E-Geld-geschäfts-, schwarmfinanzierungsdienstleistungsgeschäfts-, kreditdienstleistungsfremde Geschäfte oder kryptoemissions- oder kryptowertedienstleistungsfremde Geschäfte betreiben, der dem Verhältnis der erlaubnispflichtigen Geschäfte, Finanz- oder Kreditdienstleistungen zum Gesamtgeschäft entsprechende Bruchteil der Bilanzsumme,</w:t>
      </w:r>
    </w:p>
    <w:p>
      <w:pPr>
        <w:ind w:left="780"/>
      </w:pPr>
      <w:r>
        <w:t xml:space="preserve">d) die in der Rechtsform des Einzelkaufmanns tätig sind, die um ein fiktives Geschäftsführergehalt, das auf die Höhe des Jahresüberschusses und die Höhe der Bilanzsumme begrenzt ist, verminderte Bilanzsumme,</w:t>
      </w:r>
    </w:p>
    <w:p>
      <w:pPr>
        <w:ind w:left="780"/>
      </w:pPr>
      <w:r>
        <w:t xml:space="preserve">e) die eine Erlaubnis als Kreditdienstleistungsinstitut nach § 10 Absatz 1 Satz 1 des Kreditzweitmarktgesetzes haben, die um die Höhe der Ansprüche, die sie selbst vom Kreditgeber im Sinne des § 2 Absatz 11 des Kreditzweitmarktgesetzes aus notleidenden Kreditverträgen erworben haben, reduzierte Bilanzsumme,</w:t>
      </w:r>
    </w:p>
    <w:p>
      <w:pPr>
        <w:ind w:left="420"/>
      </w:pPr>
      <w:r>
        <w:t xml:space="preserve">2. für Umlagepflichtige der Gruppen Kredit- und Finanzdienstleistungsinstitute sowie Factoring- und Finanzierungsleasingunternehmen, die ihre Geschäftstätigkeit im Umlagejahr erst aufnehmen, die in der Planbilanz für das erste Geschäftsjahr gemäß § 32 Absatz 1 Satz 5 Nummer 5 und Satz 6 des Kreditwesengesetzes in Verbindung mit § 14 Absatz 7 Nummer 1 der Anzeigenverordnung oder nach § 10 Absatz 2 Satz 1 Nummer 2 des Zahlungsdiensteaufsichtsgesetzes oder nach § 10 Absatz 3 Nummer 6 des Kreditzweitmarktgesetzes ausgewiesene Bilanzsumme; liegt bei der Ermittlung des jeweils zu entrichtenden Umlagebetrages nach § 16m Absatz 2 bereits eine auf der Grundlage der jeweils anzuwendenden Rechnungslegungsvorschriften aufgestellte und festgestellte Bilanz für das erste erlaubnispflichtige Geschäftsjahr vor, ist diese maßgebend,</w:t>
      </w:r>
    </w:p>
    <w:p>
      <w:pPr>
        <w:ind w:left="420"/>
      </w:pPr>
      <w:r>
        <w:t xml:space="preserve">3. für Umlagepflichtige der Gruppen Kredit- und Finanzdienstleistungsinstitute, Factoring- und Finanzierungsleasingunternehmen sowie Abwicklungsanstalten, die nicht das ganze Jahr umlagepflichtig waren, ein Bruchteil der nach Absatz 1 Nummer 1, auch in Verbindung mit den Nummern 1 und 2 dieses Satzes ermittelten Bilanzsumme, wobei der Bruchteil dem Verhältnis der Anzahl der angefangenen Monate, in denen die Umlagepflicht bestand, zur Anzahl der Monate des Umlagejahres entspricht.</w:t>
      </w:r>
    </w:p>
    <w:p>
      <w:r>
        <w:t xml:space="preserve">Satz 1 Nummer 1 Buchstabe c gilt für die von der Bundesanstalt beaufsichtigten Geschäfte der Kreditanstalt für Wiederaufbau entsprechend. Die abweichenden Bilanzsummen nach Satz 1 Nummer 1 sind von der Bundesanstalt nur zu berücksichtigten, wenn der Umlagepflichtige dies vor dem 1. Juni des auf das Umlagejahr folgenden Kalenderjahres beantragt und das Vorliegen der Voraussetzungen durch Vorlage geeigneter Unterlagen nachgewiesen hat. Die entsprechende Bilanzsumme nach Satz 1 Nummer 1 ist durch eine Bescheinigung eines Wirtschaftsprüfers, einer Wirtschaftsprüfungsgesellschaft, eines vereidigten Buchprüfers, einer Buchprüfungsgesellschaft, eines genossenschaftlichen Prüfungsverbandes oder einer Prüfungsstelle der Sparkassen- und Giroverbände zu belegen. Tatsachen, die verspätet vorgetragen oder nachgewiesen werden, bleiben unberücksichtigt.</w:t>
      </w:r>
    </w:p>
    <w:p>
      <w:r>
        <w:t xml:space="preserve">(3) Für Umlagepflichtige der Gruppe Kapitalverwaltungsgesellschaften und extern verwaltete OGAW-Investmentaktiengesellschaften, die nicht das ganze Jahr umlagepflichtig waren, ist abweichend von Absatz 1 Nummer 2 der Bruchteil der jeweiligen Bemessungsgrundlage maßgeblich, der dem Verhältnis der Anzahl der angefangenen Monate, in denen die Umlagepflicht bestand, zur Anzahl der Monate des Umlagejahres entspricht.</w:t>
      </w:r>
    </w:p>
    <w:p>
      <w:r>
        <w:t xml:space="preserve">(4) In den Gruppen Kredit- und Finanzdienstleistungsinstitute, Factoring- und Finanzierungsleasingunternehmen sowie Abwicklungsanstalten haben die Umlagepflichtigen bis spätestens zum 30. Juni des dem Umlagejahr folgenden Kalenderjahres die für die Bemessung des Umlagebetrages notwendigen, von einem Wirtschaftsprüfer oder einer Wirtschaftsprüfungsgesellschaft bestätigten Daten mitzuteilen, sofern bis zu diesem Zeitpunkt noch keine festgestellte und geprüfte Bilanz für das letzte Geschäftsjahr bei der Bundesanstalt eingereicht worden ist oder die eingereichte Bilanz nicht den Anforderungen der §§ 340 bis 340k des Handelsgesetzbuchs und der Kreditinstituts-Rechnungslegungsverordnung genügt. Sofern die Bilanzsumme des letzten Geschäftsjahres 150 Millionen Euro nicht übersteigt, können die Bestätigungen nach Satz 1 auch durch vereidigte Buchprüfer oder Buchprüfungsgesellschaften vorgenommen werden.</w:t>
      </w:r>
    </w:p>
    <w:p>
      <w:r>
        <w:t xml:space="preserve">(5) Liegen die Bilanz oder die Daten nach Absatz 4 am 1. Juli nicht vor, schätzt die Bundesanstalt die Bilanzsumme und setzt den Umlagebetrag anhand der geschätzten Daten fest. Die Bundesanstalt kann auf Antrag eine angemessene Nachfrist von bis zu einem Monat zur Einreichung der in Absatz 4 genannten Unterlagen gewähren. Bei der Schätzung hat die Bundesanstalt im Regelfall die Bilanzdaten des Umlagepflichtigen aus vorangegangenen Geschäftsjahren zugrunde zu legen. Liegen keinerlei Daten im Sinne des Satzes 3 und auch keine entsprechenden Daten für die nachfolgenden Geschäftsjahre vor, hat die Schätzung auf der Grundlage des arithmetischen Mittels der vorliegenden Bilanzdaten der anderen Umlagepflichtigen derselben nach § 16g Absatz 1 Nummer 1 Buchstabe a bis d oder Nummer 2 bestimmten Gruppe zu erfolgen.</w:t>
      </w:r>
    </w:p>
    <w:p>
      <w:r>
        <w:rPr>
          <w:color w:val="555555"/>
          <w:sz w:val="17"/>
        </w:rPr>
        <w:t xml:space="preserve">Zitiervorschlag: § 16f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https://recht.nulegal.eu/gesetze/FinDAG/16f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