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16e FinDAG — Kostenermittlung und Umlagepflicht im Aufgabenbereich Banken und sonstige Finanzdienstleistungen</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Innerhalb des Aufgabenbereichs Banken und sonstige Finanzdienstleistungen hat eine gesonderte Ermittlung der Kosten nach folgenden Gruppen zu erfolgen:</w:t>
      </w:r>
    </w:p>
    <w:p>
      <w:pPr>
        <w:ind w:left="420"/>
      </w:pPr>
      <w:r>
        <w:t xml:space="preserve">1. Gruppe Kredit- und Finanzdienstleistungsinstitute: Kreditinstitute, Finanzdienstleistungsinstitute mit einer Erlaubnis nach § 1 Absatz 1a Satz 2 Nummer 1 bis 11 oder Satz 3 des Kreditwesengesetzes und die nach § 53 Absatz 1 Satz 1 des Kreditwesengesetzes tätigen Unternehmen, soweit die Finanzdienstleistungsinstitute und Unternehmen nicht ausschließlich Finanzdienstleistungen nach § 1 Absatz 1a Satz 2 Nummer 9 oder 10 des Kreditwesengesetzes erbringen, Wertpapierinstitute, Institute im Sinne des § 1 Absatz 3 des Zahlungsdiensteaufsichtsgesetzes, die nach § 42 des Zahlungsdiensteaufsichtsgesetzes tätigen Unternehmen, Schwarmfinanzierungsdienstleister mit einer von der Bundesanstalt erteilten Erlaubnis zur Erbringung von Schwarmfinanzierungs-Dienstleistungen nach Artikel 2 Absatz 1 Buchstabe a Ziffer i oder ii der Verordnung (EU) 2020/1503 in der Fassung vom 12. Juli 2022, Institute im Sinne des § 2 Absatz 4 des Kryptomärkteaufsichtsgesetzes, Kreditdienstleistungsinstitute mit einer Erlaubnis nach § 10 Absatz 1 Satz 1 des Kreditzweitmarktgesetzes sowie die Kreditanstalt für Wiederaufbau, wobei</w:t>
      </w:r>
    </w:p>
    <w:p>
      <w:pPr>
        <w:ind w:left="780"/>
      </w:pPr>
      <w:r>
        <w:t xml:space="preserve">a) Kreditinstitute und entsprechend nach § 53 des Kreditwesengesetzes tätige Unternehmen, die Bankgeschäfte und gleichzeitig das E-Geld-Geschäft betreiben oder Zahlungsdienste erbringen, ausschließlich als Kreditinstitute und</w:t>
      </w:r>
    </w:p>
    <w:p>
      <w:pPr>
        <w:ind w:left="780"/>
      </w:pPr>
      <w:r>
        <w:t xml:space="preserve">b) Finanzdienstleistungsinstitute und entsprechend nach § 53 des Kreditwesengesetzes tätige Unternehmen, die Finanzdienstleistungen erbringen und gleichzeitig das E-Geld-Geschäft betreiben oder Zahlungsdienste erbringen, ausschließlich als Finanzdienstleistungsinstitute</w:t>
      </w:r>
    </w:p>
    <w:p>
      <w:pPr>
        <w:ind w:left="420"/>
      </w:pPr>
      <w:r>
        <w:t xml:space="preserve">im Sinne der nachfolgenden Vorschriften gelten,</w:t>
      </w:r>
    </w:p>
    <w:p>
      <w:pPr>
        <w:ind w:left="420"/>
      </w:pPr>
      <w:r>
        <w:t xml:space="preserve">2. Gruppe Factoring- und Finanzierungsleasingunternehmen: Finanzdienstleistungsinstitute mit einer Erlaubnis nach § 1 Absatz 1a Satz 2 Nummer 9 oder 10 des Kreditwesengesetzes sowie die nach § 53 Absatz 1 Satz 1 des Kreditwesengesetzes tätigen Unternehmen, soweit sie nicht unter Nummer 1 fallen,</w:t>
      </w:r>
    </w:p>
    <w:p>
      <w:pPr>
        <w:ind w:left="420"/>
      </w:pPr>
      <w:r>
        <w:t xml:space="preserve">3. Gruppe Abwicklungsanstalten: Abwicklungsanstalten im Sinne des § 8a Absatz 1 Satz 1 oder des § 8b Absatz 1 des Stabilisierungsfondsgesetzes,</w:t>
      </w:r>
    </w:p>
    <w:p>
      <w:pPr>
        <w:ind w:left="420"/>
      </w:pPr>
      <w:r>
        <w:t xml:space="preserve">4. Gruppe Kapitalverwaltungsgesellschaften und extern verwaltete OGAW-Investmentaktiengesellschaften: Kapitalverwaltungsgesellschaften im Sinne des § 17 Absatz 1 des Kapitalanlagegesetzbuchs und extern verwaltete OGAW-Investmentaktiengesellschaften im Sinne des § 113 des Kapitalanlagegesetzbuchs,</w:t>
      </w:r>
    </w:p>
    <w:p>
      <w:pPr>
        <w:ind w:left="420"/>
      </w:pPr>
      <w:r>
        <w:t xml:space="preserve">5. Gruppe Datenbereitstellungsdienste: Datenbereitstellungsdienste mit einer Zulassung für das Erbringen von Datenbereitstellungsdienstleistungen nach § 78d Absatz 1 des Wertpapierinstitutsgesetzes in Verbindung mit Artikel 27b Absatz 1 Unterabsatz 2 der Verordnung (EU) Nr. 600/2014 in der Fassung vom 23. Oktober 2024, soweit ihnen keine Erlaubnis zur Erbringung von Wertpapierdienstleistungen erteilt ist und sie nach dem Wertpapierinstitutsgesetz beaufsichtigt werden.</w:t>
      </w:r>
    </w:p>
    <w:p>
      <w:r>
        <w:t xml:space="preserve">Die Kosten des Aufgabenbereichs Banken und sonstige Finanzdienstleistungen, die keiner Gruppe nach Satz 1 unmittelbar zugeordnet werden können, sind gesondert zu erfassen. Sie sind auf die Gruppen entsprechend dem Verhältnis aufzuteilen, das zwischen den Kosten besteht, die den Gruppen unmittelbar zuzurechnen sind. Im Übrigen sind § 16b Absatz 4 Satz 1 und 3 sowie § 16c entsprechend anzuwenden.</w:t>
      </w:r>
    </w:p>
    <w:p>
      <w:r>
        <w:t xml:space="preserve">(2) Umlagepflichtig für den Aufgabenbereich Banken und sonstige Finanzdienstleistungen ist vorbehaltlich des Absatzes 3, wer einer der in Absatz 1 genannten Gruppen angehört.</w:t>
      </w:r>
    </w:p>
    <w:p>
      <w:r>
        <w:t xml:space="preserve">(3) Ausgenommen von der Umlagepflicht nach Absatz 2 sind</w:t>
      </w:r>
    </w:p>
    <w:p>
      <w:pPr>
        <w:ind w:left="420"/>
      </w:pPr>
      <w:r>
        <w:t xml:space="preserve">1. vorbehaltlich des § 2 Absatz 3 des Kreditwesengesetzes die nach § 2 Absatz 1 Nummer 1 bis 1b, 3 und 3a, 3c bis 7 und 9 bis 14 des Kreditwesengesetzes nicht als Kreditinstitute geltenden Einrichtungen und Unternehmen,</w:t>
      </w:r>
    </w:p>
    <w:p>
      <w:pPr>
        <w:ind w:left="420"/>
      </w:pPr>
      <w:r>
        <w:t xml:space="preserve">2. vorbehaltlich des § 2 Absatz 6 Satz 2 des Kreditwesengesetzes die nach § 2 Absatz 6 Satz 1 Nummer 1, 1a, 3 bis 5, 5b bis 8, 10, 12, 15 bis 22 und Absatz 10 des Kreditwesengesetzes nicht als Finanzdienstleistungsinstitute geltenden Einrichtungen und Unternehmen,</w:t>
      </w:r>
    </w:p>
    <w:p>
      <w:pPr>
        <w:ind w:left="420"/>
      </w:pPr>
      <w:r>
        <w:t xml:space="preserve">3. Institute oder Unternehmen, welche die Bundesanstalt nach § 2 Absatz 4 und 5 des Kreditwesengesetzes freigestellt hat,</w:t>
      </w:r>
    </w:p>
    <w:p>
      <w:pPr>
        <w:ind w:left="420"/>
      </w:pPr>
      <w:r>
        <w:t xml:space="preserve">4. vorbehaltlich des § 3 Absatz 1 Satz 2 die nach § 3 Absatz 1 Satz 1 Nummer 1, 2, 4 bis 6, 8 bis 12, 14 bis 21 und Absatz 3 des Wertpapierinstitutsgesetzes nicht als Wertpapierinstitute geltenden Einrichtungen und Unternehmen,</w:t>
      </w:r>
    </w:p>
    <w:p>
      <w:pPr>
        <w:ind w:left="420"/>
      </w:pPr>
      <w:r>
        <w:t xml:space="preserve">5. AIF-Kapitalverwaltungsgesellschaften mit einer Registrierung nach § 44 des Kapitalanlagegesetzbuchs.</w:t>
      </w:r>
    </w:p>
    <w:p>
      <w:r>
        <w:t xml:space="preserve">(4) Die Umlagepflicht nach Absatz 2 entsteht mit Erteilung oder der Fiktion der Erlaubnis oder der Zulassung, mit der Registrierung oder im Fall einer Abwicklungsanstalt mit deren Errichtung. Sie endet in dem Jahr des Erlöschens der Erlaubnis, der Registrierung oder der Auflösung der Abwicklungsanstalt. Ändert sich im Laufe eines Umlagejahres der Erlaubnisumfang oder wird von der Aufsichtsbehörde im Sinne des § 1 Absatz 5 des Kreditwesengesetzes eine Erlaubnis zum Betreiben eines anderen Geschäfts erteilt, wird der Umlagepflichtige nach Maßgabe der Regelungen zur Umlage herangezogen, die für das Geschäft gelten, auf das sich die zuletzt im Umlagejahr bestehende Erlaubnis bezieht. Die Umlagepflicht der Kreditanstalt für Wiederaufbau beginnt am 1. Januar 2015 und endet mit Ende der Beaufsichtigung durch die Bundesanstalt.</w:t>
      </w:r>
    </w:p>
    <w:p>
      <w:r>
        <w:rPr>
          <w:color w:val="555555"/>
          <w:sz w:val="17"/>
        </w:rPr>
        <w:t xml:space="preserve">Zitiervorschlag: § 16e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