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FinDAG — Umlage</w:t>
      </w:r>
    </w:p>
    <w:p>
      <w:r>
        <w:rPr>
          <w:color w:val="555555"/>
          <w:sz w:val="18"/>
        </w:rPr>
        <w:t xml:space="preserve">Finanzdienstleistungsaufsichtsgesetz</w:t>
      </w:r>
    </w:p>
    <w:p>
      <w:r>
        <w:rPr>
          <w:color w:val="555555"/>
          <w:sz w:val="18"/>
        </w:rPr>
        <w:t xml:space="preserve">Stand: 21.09.2021 (konsolidierte Textfassung, kein amtliches Inkrafttretensdatum)</w:t>
      </w:r>
    </w:p>
    <w:p>
      <w:r>
        <w:t xml:space="preserve">Soweit die Kosten der Bundesanstalt nicht durch Gebühren, gesonderte Erstattungen nach § 15 oder sonstige Einnahmen gedeckt werden, sind sie unter Berücksichtigung von Fehlbeträgen, nicht eingegangenen Beträgen und Überschüssen der Vorjahre anteilig auf die Kredit- und Finanzdienstleistungsinstitute, Wertpapierinstitute, Zahlungs- und E-Geld-Institute, die Kreditanstalt für Wiederaufbau, die Kapitalverwaltungsgesellschaften, extern verwalteten OGAW-Investmentaktiengesellschaften, Versicherungsunternehmen, Wertpapierdienstleistungsunternehmen und Emittenten mit Sitz im Inland, deren Wertpapiere an einer inländischen Börse zum Handel zugelassen oder in den Freiverkehr einbezogen sind, die Abwicklungsanstalten sowie die Bilanzkontrollemittenten nach Maßgabe der §§ 16a bis 16s umzulegen.</w:t>
      </w:r>
    </w:p>
    <w:p>
      <w:r>
        <w:rPr>
          <w:color w:val="555555"/>
          <w:sz w:val="17"/>
        </w:rPr>
        <w:t xml:space="preserve">Zitiervorschlag: § 16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