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FinDAG — Verschwiegenheitspflicht</w:t>
      </w:r>
    </w:p>
    <w:p>
      <w:r>
        <w:rPr>
          <w:color w:val="555555"/>
          <w:sz w:val="18"/>
        </w:rPr>
        <w:t xml:space="preserve">Finanzdienstleistungsaufsichtsgesetz</w:t>
      </w:r>
    </w:p>
    <w:p>
      <w:r>
        <w:rPr>
          <w:color w:val="555555"/>
          <w:sz w:val="18"/>
        </w:rPr>
        <w:t xml:space="preserve">Stand: 10.06.2019 (konsolidierte Textfassung, kein amtliches Inkrafttretensdatum)</w:t>
      </w:r>
    </w:p>
    <w:p>
      <w:r>
        <w:t xml:space="preserve">Die Verschwiegenheitspflicht der Beschäftigten der Bundesanstalt in Bezug auf Tatsachen, die ihnen bei ihrer Tätigkeit bekannt geworden sind, bestimmt sich nach den aufsichtsrechtlichen Bestimmungen, auf Grund deren der einzelne Beschäftigte tätig geworden ist. Satz 1 gilt für die Mitglieder des Verwaltungsrats und der Beiräte hinsichtlich der ihnen bei Wahrnehmung ihrer Aufgaben bekannt gewordenen Tatsachen entsprechend.</w:t>
      </w:r>
    </w:p>
    <w:p>
      <w:r>
        <w:rPr>
          <w:color w:val="555555"/>
          <w:sz w:val="17"/>
        </w:rPr>
        <w:t xml:space="preserve">Zitiervorschlag: § 11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