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10b FinDAG — Personalgewinnungs- und Personalbindungsprämie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21.09.2021 (konsolidierte Textfassung, kein amtliches Inkrafttretensdatum)</w:t>
      </w:r>
    </w:p>
    <w:p>
      <w:r>
        <w:t xml:space="preserve">Die Bundesanstalt kann auf Anordnung des Präsidenten oder der Präsidentin mit Zustimmung des Verwaltungsrats von § 43 Absatz 8 des Bundesbesoldungsgesetzes abweichen.</w:t>
      </w:r>
    </w:p>
    <w:p>
      <w:r>
        <w:rPr>
          <w:color w:val="555555"/>
          <w:sz w:val="17"/>
        </w:rPr>
        <w:t xml:space="preserve">Zitiervorschlag: § 10b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