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FinBerG DDR — Verfahrensvorschriften</w:t>
      </w:r>
    </w:p>
    <w:p>
      <w:r>
        <w:rPr>
          <w:color w:val="555555"/>
          <w:sz w:val="18"/>
        </w:rPr>
        <w:t xml:space="preserve">Finanzbereinigungsgesetz-DDR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Antrag gemäß § 1 Abs. 3 darf nicht mit Bedingungen versehen werden. Er kann nicht zurückgenommen werden. Er ist an den Bundesminister der Finanzen zu richten. Dieser entscheidet nach den Vorschriften des Verwaltungsverfahrensgesetzes.</w:t>
      </w:r>
    </w:p>
    <w:p>
      <w:r>
        <w:t xml:space="preserve">(2) Mit dem Antrag sind einzureichen:</w:t>
      </w:r>
    </w:p>
    <w:p>
      <w:pPr>
        <w:ind w:left="420"/>
      </w:pPr>
      <w:r>
        <w:t xml:space="preserve">1. die Mark-Schlußbilanz zum 30. Juni 1990 mit Gewinn- und Verlustrechnung, die D-Markeröffnungsbilanz zum 1. Juli 1990 und Nachweise über die nach dem 30. Juni 1990 bis zur Antragstellung erhaltenen und geleisteten Zahlungen aus den in § 1 Abs. 1 genannten Forderungen und Verbindlichkeiten,</w:t>
      </w:r>
    </w:p>
    <w:p>
      <w:pPr>
        <w:ind w:left="420"/>
      </w:pPr>
      <w:r>
        <w:t xml:space="preserve">2. von den vor dem 30. Juni 1990 in Kapitalgesellschaften umgewandelten Unternehmen zusätzlich die Mark-Schlußbilanz mit Gewinn- und Verlustrechnung und die Mark-Eröffnungsbilanz bezogen auf den Zeitpunkt der Umwandlung,</w:t>
      </w:r>
    </w:p>
    <w:p>
      <w:pPr>
        <w:ind w:left="420"/>
      </w:pPr>
      <w:r>
        <w:t xml:space="preserve">3. der Vertrag über die Veräußerung des Unternehmens.</w:t>
      </w:r>
    </w:p>
    <w:p>
      <w:r>
        <w:t xml:space="preserve">Der Bundesminister der Finanzen kann weitere sachdienliche Erklärungen und Unterlagen sowie die Versicherung von Angaben an Eides Statt verlangen. § 162 der Abgabenordnung findet entsprechende Anwendung.</w:t>
      </w:r>
    </w:p>
    <w:p>
      <w:r>
        <w:t xml:space="preserve">(3) Über den Antrag des Unternehmens entscheidet der Bundesminister der Finanzen unter Anrechnung der Verbindlichkeiten des Unternehmens im Sinne des § 1 Abs. 1. Überwiegen die Verbindlichkeiten, bleibt das Unternehmen zu ihrer Erfüllung verpflichtet.</w:t>
      </w:r>
    </w:p>
    <w:p>
      <w:r>
        <w:rPr>
          <w:color w:val="555555"/>
          <w:sz w:val="17"/>
        </w:rPr>
        <w:t xml:space="preserve">Zitiervorschlag: § 4 FinBerG DDR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https://recht.nulegal.eu/gesetze/FinBerG%20DDR/4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