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FinBerG DDR — Bilanzrechtliche Folgen</w:t>
      </w:r>
    </w:p>
    <w:p>
      <w:r>
        <w:rPr>
          <w:color w:val="555555"/>
          <w:sz w:val="18"/>
        </w:rPr>
        <w:t xml:space="preserve">Finanzbereinigungsgesetz-DDR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Sind Forderungen und Verbindlichkeiten im Sinne des § 1 in einer gemäß § 1 D-Markbilanzgesetz aufzustellenden Eröffnungsbilanz ausgewiesen, gilt die Eröffnungsbilanz entsprechend § 36 Abs. 1, 2 und 4 Satz 1 und 2 D-Markbilanzgesetz insoweit als geändert, als diese Forderungen und Verbindlichkeiten auf Grund dieses Gesetzes erlöschen. § 50 Abs. 3 D-Markbilanzgesetz ist entsprechend anzuwenden.</w:t>
      </w:r>
    </w:p>
    <w:p>
      <w:r>
        <w:rPr>
          <w:color w:val="555555"/>
          <w:sz w:val="17"/>
        </w:rPr>
        <w:t xml:space="preserve">Zitiervorschlag: § 3 FinBerG DDR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https://recht.nulegal.eu/gesetze/FinBerG%20DDR/3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