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FinAusglG2023DV 1</w:t>
      </w:r>
    </w:p>
    <w:p>
      <w:r>
        <w:rPr>
          <w:color w:val="555555"/>
          <w:sz w:val="18"/>
        </w:rPr>
        <w:t xml:space="preserve">Erste Verordnung zur Durchführung des Finanzausgleichsgesetzes im Ausgleichsjahr 2023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Auf Grund der §§ 14 und 17 des Finanzausgleichsgesetzes, von denen § 14 zuletzt durch Artikel 2 Nummer 15 und § 17 zuletzt durch Artikel 2 Nummer 18 des Gesetzes vom 14. August 2017 (BGBl. I S. 3122)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FinAusglG2023DV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https://recht.nulegal.eu/gesetze/FinAusglG2023DV%201/eingangsformel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