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FinAusglG2018DV 1 — Inkrafttreten</w:t>
      </w:r>
    </w:p>
    <w:p>
      <w:r>
        <w:rPr>
          <w:color w:val="555555"/>
          <w:sz w:val="18"/>
        </w:rPr>
        <w:t xml:space="preserve">Erste Verordnung zur Durchführung des Finanzausgleichsgesetzes im Ausgleichsjahr 2018</w:t>
      </w:r>
    </w:p>
    <w:p>
      <w:r>
        <w:rPr>
          <w:color w:val="555555"/>
          <w:sz w:val="18"/>
        </w:rPr>
        <w:t xml:space="preserve">Historische Fassung: Stand 10.06.2019 bis 05.10.2025. Dies ist nicht die aktuelle Fassung.</w:t>
      </w:r>
    </w:p>
    <w:p>
      <w:r>
        <w:t xml:space="preserve">Diese Verordnung tritt mit Wirkung vom 1. Januar 2018 in Kraft.</w:t>
      </w:r>
    </w:p>
    <w:p>
      <w:r>
        <w:rPr>
          <w:color w:val="555555"/>
          <w:sz w:val="17"/>
        </w:rPr>
        <w:t xml:space="preserve">Zitiervorschlag: § 2 FinAusglG2018DV 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https://recht.nulegal.eu/gesetze/FinAusglG2018DV%201/2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