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FinAusglG2017DV 2</w:t>
      </w:r>
    </w:p>
    <w:p>
      <w:r>
        <w:rPr>
          <w:color w:val="555555"/>
          <w:sz w:val="18"/>
        </w:rPr>
        <w:t xml:space="preserve">Zweite Verordnung zur Durchführung des Finanzausgleichsgesetzes im Ausgleichsjahr 2017</w:t>
      </w:r>
    </w:p>
    <w:p>
      <w:r>
        <w:rPr>
          <w:color w:val="555555"/>
          <w:sz w:val="18"/>
        </w:rPr>
        <w:t xml:space="preserve">Stand: 06.04.2021 (konsolidierte Textfassung, kein amtliches Inkrafttretensdatum)</w:t>
      </w:r>
    </w:p>
    <w:p>
      <w:r>
        <w:t xml:space="preserve">Auf Grund des § 12 des Finanzausgleichsgesetzes, der durch Artikel 2 Nummer 12 des Gesetzes vom 14. August 2017 (BGBl. I S. 3122) geändert worden ist, verordnet das Bundesministerium der Finanzen:</w:t>
      </w:r>
    </w:p>
    <w:p>
      <w:r>
        <w:rPr>
          <w:color w:val="555555"/>
          <w:sz w:val="17"/>
        </w:rPr>
        <w:t xml:space="preserve">Zitiervorschlag: Eingangsformel FinAusglG2017DV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https://recht.nulegal.eu/gesetze/FinAusglG2017DV%202/eingangsformel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