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FinAusglG2017DV 1</w:t>
      </w:r>
    </w:p>
    <w:p>
      <w:r>
        <w:rPr>
          <w:color w:val="555555"/>
          <w:sz w:val="18"/>
        </w:rPr>
        <w:t xml:space="preserve">Erste Verordnung zur Durchführung des Finanzausgleichsgesetzes im Ausgleichsjahr 2017</w:t>
      </w:r>
    </w:p>
    <w:p>
      <w:r>
        <w:rPr>
          <w:color w:val="555555"/>
          <w:sz w:val="18"/>
        </w:rPr>
        <w:t xml:space="preserve">Historische Fassung: Stand 10.06.2019 bis 06.04.2021. Dies ist nicht die aktuelle Fassung.</w:t>
      </w:r>
    </w:p>
    <w:p>
      <w:r>
        <w:t xml:space="preserve">Auf Grund des § 14 Absatz 4 und des § 17 Absatz 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FinAusglG2017DV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https://recht.nulegal.eu/gesetze/FinAusglG2017DV%201/eingangsformel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