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FinAusglG2017DV 1 — Vollzug der Umsatzsteuerverteilung und des Finanzausgleichs im Ausgleichsjahr 2017</w:t>
      </w:r>
    </w:p>
    <w:p>
      <w:r>
        <w:rPr>
          <w:color w:val="555555"/>
          <w:sz w:val="18"/>
        </w:rPr>
        <w:t xml:space="preserve">Erste Verordnung zur Durchführung des Finanzausgleichsgesetzes im Ausgleichsjahr 2017</w:t>
      </w:r>
    </w:p>
    <w:p>
      <w:r>
        <w:rPr>
          <w:color w:val="555555"/>
          <w:sz w:val="18"/>
        </w:rPr>
        <w:t xml:space="preserve">Historische Fassung: Stand 10.06.2019 bis 06.04.2021. Dies ist nicht die aktuelle Fassung.</w:t>
      </w:r>
    </w:p>
    <w:p>
      <w:r>
        <w:t xml:space="preserve">(1) Zum vorläufigen Vollzug der Umsatzsteuerverteilung und des Finanzausgleichs unter den Ländern im Ausgleichsjahr 2017 wird der Zahlungsverkehr nach § 14 Absatz 1 des Gesetzes in der Weise durchgeführt, dass die Ablieferung des Bundesanteils von 50,58061751 Prozent an der durch Landesfinanzbehörden verwalteten Umsatzsteuer auf die folgenden Prozentsätze festgelegt wird:</w:t>
      </w:r>
    </w:p>
    <w:p>
      <w:r>
        <w:rPr>
          <w:rFonts w:ascii="Courier New" w:hAnsi="Courier New"/>
          <w:sz w:val="17"/>
        </w:rPr>
        <w:t xml:space="preserve">Baden-Württemberg    66,0 %</w:t>
      </w:r>
    </w:p>
    <w:p>
      <w:r>
        <w:rPr>
          <w:rFonts w:ascii="Courier New" w:hAnsi="Courier New"/>
          <w:sz w:val="17"/>
        </w:rPr>
        <w:t xml:space="preserve">Bayern    81,4 %</w:t>
      </w:r>
    </w:p>
    <w:p>
      <w:r>
        <w:rPr>
          <w:rFonts w:ascii="Courier New" w:hAnsi="Courier New"/>
          <w:sz w:val="17"/>
        </w:rPr>
        <w:t xml:space="preserve">Berlin    18,8 %</w:t>
      </w:r>
    </w:p>
    <w:p>
      <w:r>
        <w:rPr>
          <w:rFonts w:ascii="Courier New" w:hAnsi="Courier New"/>
          <w:sz w:val="17"/>
        </w:rPr>
        <w:t xml:space="preserve">Brandenburg    –</w:t>
      </w:r>
    </w:p>
    <w:p>
      <w:r>
        <w:rPr>
          <w:rFonts w:ascii="Courier New" w:hAnsi="Courier New"/>
          <w:sz w:val="17"/>
        </w:rPr>
        <w:t xml:space="preserve">Bremen    5,4 %</w:t>
      </w:r>
    </w:p>
    <w:p>
      <w:r>
        <w:rPr>
          <w:rFonts w:ascii="Courier New" w:hAnsi="Courier New"/>
          <w:sz w:val="17"/>
        </w:rPr>
        <w:t xml:space="preserve">Hamburg    84,4 %</w:t>
      </w:r>
    </w:p>
    <w:p>
      <w:r>
        <w:rPr>
          <w:rFonts w:ascii="Courier New" w:hAnsi="Courier New"/>
          <w:sz w:val="17"/>
        </w:rPr>
        <w:t xml:space="preserve">Hessen    80,1 %</w:t>
      </w:r>
    </w:p>
    <w:p>
      <w:r>
        <w:rPr>
          <w:rFonts w:ascii="Courier New" w:hAnsi="Courier New"/>
          <w:sz w:val="17"/>
        </w:rPr>
        <w:t xml:space="preserve">Mecklenburg-Vorpommern    –</w:t>
      </w:r>
    </w:p>
    <w:p>
      <w:r>
        <w:rPr>
          <w:rFonts w:ascii="Courier New" w:hAnsi="Courier New"/>
          <w:sz w:val="17"/>
        </w:rPr>
        <w:t xml:space="preserve">Niedersachsen    –</w:t>
      </w:r>
    </w:p>
    <w:p>
      <w:r>
        <w:rPr>
          <w:rFonts w:ascii="Courier New" w:hAnsi="Courier New"/>
          <w:sz w:val="17"/>
        </w:rPr>
        <w:t xml:space="preserve">Nordrhein-Westfalen    61,6 %</w:t>
      </w:r>
    </w:p>
    <w:p>
      <w:r>
        <w:rPr>
          <w:rFonts w:ascii="Courier New" w:hAnsi="Courier New"/>
          <w:sz w:val="17"/>
        </w:rPr>
        <w:t xml:space="preserve">Rheinland-Pfalz    28,7 %</w:t>
      </w:r>
    </w:p>
    <w:p>
      <w:r>
        <w:rPr>
          <w:rFonts w:ascii="Courier New" w:hAnsi="Courier New"/>
          <w:sz w:val="17"/>
        </w:rPr>
        <w:t xml:space="preserve">Saarland    52,1 %</w:t>
      </w:r>
    </w:p>
    <w:p>
      <w:r>
        <w:rPr>
          <w:rFonts w:ascii="Courier New" w:hAnsi="Courier New"/>
          <w:sz w:val="17"/>
        </w:rPr>
        <w:t xml:space="preserve">Sachsen    –</w:t>
      </w:r>
    </w:p>
    <w:p>
      <w:r>
        <w:rPr>
          <w:rFonts w:ascii="Courier New" w:hAnsi="Courier New"/>
          <w:sz w:val="17"/>
        </w:rPr>
        <w:t xml:space="preserve">Sachsen-Anhalt    –</w:t>
      </w:r>
    </w:p>
    <w:p>
      <w:r>
        <w:rPr>
          <w:rFonts w:ascii="Courier New" w:hAnsi="Courier New"/>
          <w:sz w:val="17"/>
        </w:rPr>
        <w:t xml:space="preserve">Schleswig-Holstein    33,5 %</w:t>
      </w:r>
    </w:p>
    <w:p>
      <w:r>
        <w:rPr>
          <w:rFonts w:ascii="Courier New" w:hAnsi="Courier New"/>
          <w:sz w:val="17"/>
        </w:rPr>
        <w:t xml:space="preserve">Thüringen    – .</w:t>
      </w:r>
    </w:p>
    <w:p>
      <w:r>
        <w:t xml:space="preserve">(2) Die zuständigen Landeskassen überweisen die vorläufigen Einnahmen des Bundes nach Absatz 1 telegrafisch an die zuständigen Bundeskassen spätestens einen Arbeitstag nach dem Zugang der Steuerzahlungen. Soweit aus zwingenden Gründen eine solche Ablieferung nach dem tatsächlichen Aufkommen nicht möglich ist, sind die Bundesanteile täglich nach Schätzwerten abzuliefern, wobei auch die in Verwahrung gebuchten Steuereinnahmen zu berücksichtigen sind; der Ausgleich mit dem tatsächlichen Aufkommen ist unverzüglich durchzuführen.</w:t>
      </w:r>
    </w:p>
    <w:p>
      <w:r>
        <w:t xml:space="preserve">(3) Brandenburg, Mecklenburg-Vorpommern, Niedersachsen, Sachsen, Sachsen-Anhalt und Thüringen leisten im Zahlungsverkehr nach den Absätzen 1 und 2 keine Zahlungen auf den Bundesanteil an der durch Landesfinanzbehörden verwalteten Umsatzsteuer. Auf den durch den Bundesanteil nicht gedeckten Teil ihrer Ansprüche aus dem vorläufigen Umsatzsteuer- und Finanzausgleich überweist das Bundesministerium der Finanzen an monatlichen Vorauszahlungen an Brandenburg 38 432 000 Euro, an Mecklenburg-Vorpommern 126 715 000 Euro, an Niedersachsen 137 230 000 Euro, an Sachsen 156 868 000 Euro, an Sachsen-Anhalt 168 122 000 Euro und an Thüringen 146 290 000 Euro. Die Zahlungen werden am 15. eines jeden Monats fällig.</w:t>
      </w:r>
    </w:p>
    <w:p>
      <w:r>
        <w:t xml:space="preserve">(4) Auf den Länderanteil an der durch Bundesfinanzbehörden verwalteten Einfuhrumsatzsteuer entrichtet das Bundesministerium der Finanzen am 15. eines jeden Monats eine Abschlagszahlung auf der Grundlage des Aufkommens des Vormonats. Im jeweils darauffolgenden Monat werden gleichzeitig die Beträge verrechnet, die mit der Abschlagszahlung des Vormonats zu viel oder zu wenig gezahlt worden sind.</w:t>
      </w:r>
    </w:p>
    <w:p>
      <w:r>
        <w:t xml:space="preserve">(5) Der Gemeindeanteil an der durch Bundesfinanzbehörden verwalteten Einfuhrumsatzsteuer wird nach Maßgabe von § 17 Absatz 1 des Gesetzes den Ländern zusammen mit dem Länderanteil an der Einfuhrumsatzsteuer in monatlichen Teilbeträgen jeweils zum 15. des Folgemonats überwiesen.</w:t>
      </w:r>
    </w:p>
    <w:p>
      <w:r>
        <w:rPr>
          <w:color w:val="555555"/>
          <w:sz w:val="17"/>
        </w:rPr>
        <w:t xml:space="preserve">Zitiervorschlag: § 1 FinAusglG2017DV 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https://recht.nulegal.eu/gesetze/FinAusglG2017DV%201/1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