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FinAusglG2016DV 2 — Inkrafttreten, Außerkrafttreten</w:t>
      </w:r>
    </w:p>
    <w:p>
      <w:r>
        <w:rPr>
          <w:color w:val="555555"/>
          <w:sz w:val="18"/>
        </w:rPr>
        <w:t xml:space="preserve">Zweite Verordnung zur Durchführung des Finanzausgleichsgesetzes im Ausgleichsjahr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siebenten Tag nach der Verkündung in Kraft. Gleichzeitig tritt die Erste Verordnung zur Durchführung des Finanzausgleichsgesetzes im Ausgleichsjahr 2016 vom 18. März 2016 (BGBl. I S. 514) außer Kraft.</w:t>
      </w:r>
    </w:p>
    <w:p>
      <w:r>
        <w:rPr>
          <w:color w:val="555555"/>
          <w:sz w:val="17"/>
        </w:rPr>
        <w:t xml:space="preserve">Zitiervorschlag: § 4 FinAusglG2016DV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https://recht.nulegal.eu/gesetze/FinAusglG2016DV%202/4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