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FinAusglG2014DV 2 — Inkrafttreten, Außerkrafttreten</w:t>
      </w:r>
    </w:p>
    <w:p>
      <w:r>
        <w:rPr>
          <w:color w:val="555555"/>
          <w:sz w:val="18"/>
        </w:rPr>
        <w:t xml:space="preserve">Zweite Verordnung zur Durchführung des Finanzausgleichsgesetzes im Ausgleichsjahr 2014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siebenten Tag nach der Verkündung in Kraft. Gleichzeitig tritt die Erste Verordnung zur Durchführung des Finanzausgleichsgesetzes im Ausgleichsjahr 2014 vom 17. März 2014 (BGBl. I S. 265) außer Kraft.</w:t>
      </w:r>
    </w:p>
    <w:p>
      <w:r>
        <w:rPr>
          <w:color w:val="555555"/>
          <w:sz w:val="17"/>
        </w:rPr>
        <w:t xml:space="preserve">Zitiervorschlag: § 4 FinAusglG2014DV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https://recht.nulegal.eu/gesetze/FinAusglG2014DV%202/4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