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FinAusglG 2005 — Finanzkraftmesszahl, Ausgleichsmesszahl</w:t>
      </w:r>
    </w:p>
    <w:p>
      <w:r>
        <w:rPr>
          <w:color w:val="555555"/>
          <w:sz w:val="18"/>
        </w:rPr>
        <w:t xml:space="preserve">Finanzausgleichsgesetz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Die Finanzkraftmesszahl eines Landes ist die Summe der Einnahmen des Landes nach § 7 und der Steuereinnahmen seiner Gemeinden nach § 8.</w:t>
      </w:r>
    </w:p>
    <w:p>
      <w:r>
        <w:t xml:space="preserve">(2) Die Ausgleichsmesszahl eines Landes ist die Summe der beiden Messzahlen, die zum Ausgleich der Einnahmen der Länder nach § 7 und zum Ausgleich der Steuereinnahmen der Gemeinden nach § 8 getrennt festgestellt werden. Die Messzahlen ergeben sich aus den auszugleichenden Einnahmen je Einwohner der Ländergesamtheit, vervielfacht mit der Einwohnerzahl des Landes; hierbei sind die nach § 9 gewerteten Einwohnerzahlen zugrunde zu legen.</w:t>
      </w:r>
    </w:p>
    <w:p>
      <w:r>
        <w:rPr>
          <w:color w:val="555555"/>
          <w:sz w:val="17"/>
        </w:rPr>
        <w:t xml:space="preserve">Zitiervorschlag: § 6 FinAusglG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https://recht.nulegal.eu/gesetze/FinAusglG%202005/6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