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FinAusglG 2005 — Abschläge und Zuschläge zum Zweck des Finanzkraftausgleichs</w:t>
      </w:r>
    </w:p>
    <w:p>
      <w:r>
        <w:rPr>
          <w:color w:val="555555"/>
          <w:sz w:val="18"/>
        </w:rPr>
        <w:t xml:space="preserve">Finanzausgleichsgesetz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Abschläge werden von den Ländern erhoben, deren Finanzkraftmesszahl im Ausgleichsjahr ihre Ausgleichsmesszahl übersteigt.</w:t>
      </w:r>
    </w:p>
    <w:p>
      <w:r>
        <w:t xml:space="preserve">(2) Zuschläge werden den Ländern gewährt, deren Finanzkraftmesszahl im Ausgleichsjahr ihre Ausgleichsmesszahl nicht erreicht.</w:t>
      </w:r>
    </w:p>
    <w:p>
      <w:r>
        <w:rPr>
          <w:color w:val="555555"/>
          <w:sz w:val="17"/>
        </w:rPr>
        <w:t xml:space="preserve">Zitiervorschlag: § 5 FinAusglG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https://recht.nulegal.eu/gesetze/FinAusglG%202005/5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