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FinAusglG 2005 — Berichts- und Auskunftspflichten</w:t>
      </w:r>
    </w:p>
    <w:p>
      <w:r>
        <w:rPr>
          <w:color w:val="555555"/>
          <w:sz w:val="18"/>
        </w:rPr>
        <w:t xml:space="preserve">Finanzausgleichsgesetz</w:t>
      </w:r>
    </w:p>
    <w:p>
      <w:r>
        <w:rPr>
          <w:color w:val="555555"/>
          <w:sz w:val="18"/>
        </w:rPr>
        <w:t xml:space="preserve">Stand: 10.01.2020 (konsolidierte Textfassung, kein amtliches Inkrafttretensdatum)</w:t>
      </w:r>
    </w:p>
    <w:p>
      <w:r>
        <w:t xml:space="preserve">(1) Über Struktur und Höhe des Finanzkraftausgleichs sowie der Zuweisungen gemäß § 11 im Ausgleichsjahr unterrichtet die Bundesregierung im Folgejahr den Bundestag und den Bundesrat.</w:t>
      </w:r>
    </w:p>
    <w:p>
      <w:r>
        <w:t xml:space="preserve">(2) Die zuständigen Landesbehörden sind verpflichtet, dem Bundesministerium der Finanzen alle zur Durchführung dieses Gesetzes angeforderten Auskünfte zu erteilen. Die oberste Rechnungsprüfungsbehörde des Landes hat die sachliche Richtigkeit der zur Feststellung der Finanzkraft des Landes erforderlichen Angaben zu bestätigen.</w:t>
      </w:r>
    </w:p>
    <w:p>
      <w:r>
        <w:rPr>
          <w:color w:val="555555"/>
          <w:sz w:val="17"/>
        </w:rPr>
        <w:t xml:space="preserve">Zitiervorschlag: § 18 FinAusglG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https://recht.nulegal.eu/gesetze/FinAusglG%202005/18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