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FinAusglG 2005 — Feststellung der Umsatzsteueranteile</w:t>
      </w:r>
    </w:p>
    <w:p>
      <w:r>
        <w:rPr>
          <w:color w:val="555555"/>
          <w:sz w:val="18"/>
        </w:rPr>
        <w:t xml:space="preserve">Finanzausgleichsgesetz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Das Bundesministerium der Finanzen stellt nach Ablauf des Ausgleichsjahres die endgültige Höhe der Länderanteile an der Umsatzsteuer durch Rechtsverordnung fest, die der Zustimmung des Bundesrates bedarf.</w:t>
      </w:r>
    </w:p>
    <w:p>
      <w:r>
        <w:rPr>
          <w:color w:val="555555"/>
          <w:sz w:val="17"/>
        </w:rPr>
        <w:t xml:space="preserve">Zitiervorschlag: § 12 FinAusglG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https://recht.nulegal.eu/gesetze/FinAusglG%202005/12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