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FinASVO NRW (Nordrhein-Westfalen) — Übergangsregelung</w:t>
      </w:r>
    </w:p>
    <w:p>
      <w:r>
        <w:rPr>
          <w:color w:val="555555"/>
          <w:sz w:val="18"/>
        </w:rPr>
        <w:t xml:space="preserve">Finanzaufsichts- und Sicherungsverordnung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vorgesehenen Ausstattungen der einzelnen Spielbankenstandorte, wie der Einsatz von Geldscheinbehältern (§ 2 Absatz 2, § 4 Absatz 1), die Installation von Schlüsseltresoren (§ 2 Absatz 3), der Alleinverschluss der Spielautomaten, der Transportwagen und der Zählräume (§ 4 Absatz 3), die Einrichtung eines Videoleitstandes (§ 6 Absatz 3) und die Installation eines Table Management Systems (§ 6 Absatz 4) sind spätestens bis zwei Jahre nach Inkrafttreten der Verordnung zu realisieren.</w:t>
      </w:r>
    </w:p>
    <w:p>
      <w:r>
        <w:rPr>
          <w:color w:val="555555"/>
          <w:sz w:val="17"/>
        </w:rPr>
        <w:t xml:space="preserve">Zitiervorschlag: § 40 FinASVO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https://recht.nulegal.eu/gesetze/FinASVO%20NRW/40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