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FinASVO NRW (Nordrhein-Westfalen) — Wochenabrechnung im Automatenspiel</w:t>
      </w:r>
    </w:p>
    <w:p>
      <w:r>
        <w:rPr>
          <w:color w:val="555555"/>
          <w:sz w:val="18"/>
        </w:rPr>
        <w:t xml:space="preserve">Finanzaufsichts- und Sicherungsverordnung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oder der Beauftragte der Konzessionsinhaberin oder des Konzessionsinhabers fasst die Tagesergebnisse für die wöchentliche Ermittlung des Bruttospielertrags der Spielautomaten am Abrechnungstag zusammen und hält sie in einer Wochenabrechnung fest.</w:t>
      </w:r>
    </w:p>
    <w:p>
      <w:r>
        <w:t xml:space="preserve">(2) Die Finanzaufsicht prüft die Richtigkeit der Wochenabrechnung und quittiert dies durch Unterschrift im Rahmen der Zählung. Ein Ausdruck der Wochenabrechnung ist der Finanzaufsicht zu übergeben. Sie nimmt diesen als Beleg zu den Automatenabrechnungen.</w:t>
      </w:r>
    </w:p>
    <w:p>
      <w:r>
        <w:rPr>
          <w:color w:val="555555"/>
          <w:sz w:val="17"/>
        </w:rPr>
        <w:t xml:space="preserve">Zitiervorschlag: § 32 FinASVO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https://recht.nulegal.eu/gesetze/FinASVO%20NRW/32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