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FinASVO NRW (Nordrhein-Westfalen) — Tagesabrechnung im Automatenspiel</w:t>
      </w:r>
    </w:p>
    <w:p>
      <w:r>
        <w:rPr>
          <w:color w:val="555555"/>
          <w:sz w:val="18"/>
        </w:rPr>
        <w:t xml:space="preserve">Finanzaufsichts- und Sicherungsverordnung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Abrechnung der Inhalte sämtlicher am selben Spieltag gezogener Geldscheinbehälter hat täglich zu erfolgen. Dazu sind in einem Abrechnungsprogramm folgende Beträge des Spieltages festzuhalten:</w:t>
      </w:r>
    </w:p>
    <w:p>
      <w:r>
        <w:t xml:space="preserve">1. die Zählergebnisse der Inhalte der gezogenen Geldscheinbehälter,</w:t>
      </w:r>
    </w:p>
    <w:p>
      <w:r>
        <w:t xml:space="preserve">2. die von den Kassen der Spielbank ausgezahlten Gewinne, die dort und an den Auszahlungsautomaten vorgenommenen Ticketauszahlungen und</w:t>
      </w:r>
    </w:p>
    <w:p>
      <w:r>
        <w:t xml:space="preserve">3. die Kassen-, Promotion-, Restkredittickets und die im Spielautomaten aufgefundenen Tickets im Sinne des § 17.</w:t>
      </w:r>
    </w:p>
    <w:p>
      <w:r>
        <w:t xml:space="preserve">(2) Nach Abschluss der Eingaben erfolgt die EDV-gestützte Ermittlung des Tagesergebnisses nach Maßgabe des § 29 Absatz 2.</w:t>
      </w:r>
    </w:p>
    <w:p>
      <w:r>
        <w:t xml:space="preserve">(3) Der Finanzaufsicht ist der Ausdruck der Tagesabrechnung zusammen mit dem Abrechnungsformular einschließlich der Dokumentation zu Differenzen zu übergeben. Sie nimmt diese als Beleg zu den Automatenabrechnungen.</w:t>
      </w:r>
    </w:p>
    <w:p>
      <w:r>
        <w:rPr>
          <w:color w:val="555555"/>
          <w:sz w:val="17"/>
        </w:rPr>
        <w:t xml:space="preserve">Zitiervorschlag: § 31 FinASVO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https://recht.nulegal.eu/gesetze/FinASVO%20NRW/31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