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FinASVO NRW (Nordrhein-Westfalen) — Abstimmung der Zählergebnisse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ermittelten Kasseninhalte für jeden Spielautomaten sind einzeln zu erfassen und mit den Daten aus dem elektronischen Aufzeichnungssystem abzugleichen. Die Übereinstimmung ist unterschriftlich zu bestätigen. Differenzen sind umgehend aufzuklären und zu dokumentieren.</w:t>
      </w:r>
    </w:p>
    <w:p>
      <w:r>
        <w:t xml:space="preserve">(2) Für die Ermittlung des Bruttospielertrags ist das Zählergebnis maßgeblich.</w:t>
      </w:r>
    </w:p>
    <w:p>
      <w:r>
        <w:rPr>
          <w:color w:val="555555"/>
          <w:sz w:val="17"/>
        </w:rPr>
        <w:t xml:space="preserve">Zitiervorschlag: § 30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