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FinASVO NRW (Nordrhein-Westfalen) — Unterbrechung des Spielbetriebs im Klassischen Spiel</w:t>
      </w:r>
    </w:p>
    <w:p>
      <w:r>
        <w:rPr>
          <w:color w:val="555555"/>
          <w:sz w:val="18"/>
        </w:rPr>
        <w:t xml:space="preserve">Finanzaufsichts- und Sicherungsverordnung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planmäßigen vorübergehenden Unterbrechungen, zum Beispiel Spielpausen an Silvester, kann die Finanzaufsicht gestatten, dass die Lagen-, Bargeld- und Geldscheinbehälter verschlossen oder beim französischen Roulette unter Aufsicht am Spieltisch verbleiben.</w:t>
      </w:r>
    </w:p>
    <w:p>
      <w:r>
        <w:t xml:space="preserve">(2) Wird der Spielbetrieb durch außergewöhnliche Vorkommnisse unterbrochen, hat die Finanzaufsicht möglichst dafür Sorge zu tragen, dass die Lagen-, Bargeld- und die Geldscheinbehälter ungezählt sicher verwahrt werden. Bei allen Maßnahmen hat der Schutz von Leib und Leben absoluten Vorrang. Solche außergewöhnlichen Vorkommnisse sind auf der Tagesabrechnung zu vermerken.</w:t>
      </w:r>
    </w:p>
    <w:p>
      <w:r>
        <w:rPr>
          <w:color w:val="555555"/>
          <w:sz w:val="17"/>
        </w:rPr>
        <w:t xml:space="preserve">Zitiervorschlag: § 13 FinASVO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https://recht.nulegal.eu/gesetze/FinASVO%20NRW/13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