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FinASVO NRW (Nordrhein-Westfalen) — Allgemeine Aufgaben</w:t>
      </w:r>
    </w:p>
    <w:p>
      <w:r>
        <w:rPr>
          <w:color w:val="555555"/>
          <w:sz w:val="18"/>
        </w:rPr>
        <w:t xml:space="preserve">Finanzaufsichts- und Sicherungsverordnung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Konzessionsinhaberin oder der Konzessionsinhaber darf den Spielbetrieb im Klassischen Spiel erst eröffnen, wenn dessen Überwachung durch die Anwesenheit der Finanzaufsicht im Spielsaal sichergestellt ist. Für die Spieleröffnung im Automatenspiel ist regelmäßig die Anwesenheit der Finanzaufsicht in der Spielbank ausreichend.</w:t>
      </w:r>
    </w:p>
    <w:p>
      <w:r>
        <w:t xml:space="preserve">(2) Zur Kontrolle der Einhaltung der zugelassenen Spielzeiten darf die Finanzaufsicht auch die Aufzeichnungen des elektronischen Aufzeichnungssystems der Konzessionsinhaberin oder des Konzessionsinhabers nutzen.</w:t>
      </w:r>
    </w:p>
    <w:p>
      <w:r>
        <w:rPr>
          <w:color w:val="555555"/>
          <w:sz w:val="17"/>
        </w:rPr>
        <w:t xml:space="preserve">Zitiervorschlag: § 1 FinASVO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https://recht.nulegal.eu/gesetze/FinASVO%20NRW/1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