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FinÄndG 1967 — Berlin-Klausel</w:t>
      </w:r>
    </w:p>
    <w:p>
      <w:r>
        <w:rPr>
          <w:color w:val="555555"/>
          <w:sz w:val="18"/>
        </w:rPr>
        <w:t xml:space="preserve">Finanzänderungsgesetz 1967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12 Abs. 1 und des § 13 Abs. 1 des Dritten Überleitungsgesetzes vom 4. Januar 1952 (Bundesgesetzbl. I S. 1) auch im Land Berlin. Rechtsverordnungen, die auf Grund dieses Gesetzes erlassen werden, gelten im Land Berlin nach § 14 des Dritten Überleitungsgesetzes.</w:t>
      </w:r>
    </w:p>
    <w:p>
      <w:r>
        <w:rPr>
          <w:color w:val="555555"/>
          <w:sz w:val="17"/>
        </w:rPr>
        <w:t xml:space="preserve">Zitiervorschlag: Art 21 FinÄndG 1967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https://recht.nulegal.eu/gesetze/Fin%C3%84ndG%201967/21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